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仿宋_GB2312" w:hAnsi="仿宋_GB2312" w:eastAsia="仿宋_GB2312" w:cs="仿宋_GB2312"/>
          <w:sz w:val="32"/>
          <w:szCs w:val="32"/>
        </w:rPr>
      </w:pPr>
    </w:p>
    <w:p>
      <w:pPr>
        <w:pStyle w:val="2"/>
        <w:numPr>
          <w:ilvl w:val="1"/>
          <w:numId w:val="0"/>
        </w:numPr>
        <w:ind w:leftChars="0"/>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牡政办规〔2024〕</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号</w:t>
      </w:r>
    </w:p>
    <w:p>
      <w:pPr>
        <w:pStyle w:val="2"/>
        <w:pageBreakBefore w:val="0"/>
        <w:widowControl w:val="0"/>
        <w:numPr>
          <w:ilvl w:val="0"/>
          <w:numId w:val="0"/>
        </w:numPr>
        <w:kinsoku/>
        <w:wordWrap/>
        <w:overflowPunct/>
        <w:topLinePunct w:val="0"/>
        <w:autoSpaceDE/>
        <w:autoSpaceDN/>
        <w:bidi w:val="0"/>
        <w:adjustRightInd/>
        <w:snapToGrid/>
        <w:spacing w:before="0" w:after="0" w:line="600" w:lineRule="exact"/>
        <w:ind w:leftChars="0"/>
        <w:textAlignment w:val="auto"/>
        <w:rPr>
          <w:rFonts w:hint="eastAsia" w:ascii="仿宋_GB2312" w:hAnsi="仿宋_GB2312" w:eastAsia="仿宋_GB2312" w:cs="仿宋_GB231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牡丹江市人民政府</w:t>
      </w:r>
      <w:r>
        <w:rPr>
          <w:rFonts w:hint="eastAsia" w:ascii="方正小标宋简体" w:hAnsi="方正小标宋简体" w:eastAsia="方正小标宋简体" w:cs="方正小标宋简体"/>
          <w:b w:val="0"/>
          <w:bCs w:val="0"/>
          <w:sz w:val="44"/>
          <w:szCs w:val="44"/>
          <w:lang w:eastAsia="zh-CN"/>
        </w:rPr>
        <w:t>办公室</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val="en-US" w:eastAsia="zh-CN"/>
        </w:rPr>
        <w:t>印发</w:t>
      </w:r>
      <w:r>
        <w:rPr>
          <w:rFonts w:hint="eastAsia" w:ascii="方正小标宋简体" w:hAnsi="方正小标宋简体" w:eastAsia="方正小标宋简体" w:cs="方正小标宋简体"/>
          <w:b w:val="0"/>
          <w:bCs w:val="0"/>
          <w:sz w:val="44"/>
          <w:szCs w:val="44"/>
          <w:lang w:eastAsia="zh-CN"/>
        </w:rPr>
        <w:t>牡丹江</w:t>
      </w:r>
      <w:r>
        <w:rPr>
          <w:rFonts w:hint="eastAsia" w:ascii="方正小标宋简体" w:hAnsi="方正小标宋简体" w:eastAsia="方正小标宋简体" w:cs="方正小标宋简体"/>
          <w:b w:val="0"/>
          <w:bCs w:val="0"/>
          <w:sz w:val="44"/>
          <w:szCs w:val="44"/>
        </w:rPr>
        <w:t>市公共资源交易信用评价管理办法</w:t>
      </w:r>
      <w:r>
        <w:rPr>
          <w:rFonts w:hint="eastAsia" w:ascii="方正小标宋简体" w:hAnsi="方正小标宋简体" w:eastAsia="方正小标宋简体" w:cs="方正小标宋简体"/>
          <w:b w:val="0"/>
          <w:bCs w:val="0"/>
          <w:sz w:val="44"/>
          <w:szCs w:val="44"/>
          <w:lang w:eastAsia="zh-CN"/>
        </w:rPr>
        <w:t>（试行）</w:t>
      </w:r>
      <w:r>
        <w:rPr>
          <w:rFonts w:hint="eastAsia" w:ascii="方正小标宋简体" w:hAnsi="方正小标宋简体" w:eastAsia="方正小标宋简体" w:cs="方正小标宋简体"/>
          <w:b w:val="0"/>
          <w:bCs w:val="0"/>
          <w:sz w:val="44"/>
          <w:szCs w:val="44"/>
          <w:lang w:val="en-US" w:eastAsia="zh-CN"/>
        </w:rPr>
        <w:t>的通知</w:t>
      </w: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各县（市）、区人民政府，</w:t>
      </w:r>
      <w:r>
        <w:rPr>
          <w:rFonts w:hint="eastAsia" w:ascii="楷体" w:hAnsi="楷体" w:eastAsia="楷体" w:cs="楷体"/>
          <w:kern w:val="2"/>
          <w:sz w:val="32"/>
          <w:szCs w:val="32"/>
          <w:lang w:eastAsia="zh-CN" w:bidi="ar-SA"/>
        </w:rPr>
        <w:t>市政府各有关直属</w:t>
      </w:r>
      <w:r>
        <w:rPr>
          <w:rFonts w:hint="eastAsia" w:ascii="楷体" w:hAnsi="楷体" w:eastAsia="楷体" w:cs="楷体"/>
          <w:kern w:val="2"/>
          <w:sz w:val="32"/>
          <w:szCs w:val="32"/>
          <w:lang w:val="en-US" w:eastAsia="zh-CN" w:bidi="ar-SA"/>
        </w:rPr>
        <w:t>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w:t>
      </w:r>
      <w:r>
        <w:rPr>
          <w:rFonts w:hint="eastAsia" w:ascii="楷体" w:hAnsi="楷体" w:eastAsia="楷体" w:cs="楷体"/>
          <w:b w:val="0"/>
          <w:bCs w:val="0"/>
          <w:sz w:val="32"/>
          <w:szCs w:val="32"/>
          <w:lang w:eastAsia="zh-CN"/>
        </w:rPr>
        <w:t>牡丹江</w:t>
      </w:r>
      <w:r>
        <w:rPr>
          <w:rFonts w:hint="eastAsia" w:ascii="楷体" w:hAnsi="楷体" w:eastAsia="楷体" w:cs="楷体"/>
          <w:b w:val="0"/>
          <w:bCs w:val="0"/>
          <w:sz w:val="32"/>
          <w:szCs w:val="32"/>
        </w:rPr>
        <w:t>市公共资源交易信用评价管理办法</w:t>
      </w:r>
      <w:r>
        <w:rPr>
          <w:rFonts w:hint="eastAsia" w:ascii="楷体" w:hAnsi="楷体" w:eastAsia="楷体" w:cs="楷体"/>
          <w:b w:val="0"/>
          <w:bCs w:val="0"/>
          <w:sz w:val="32"/>
          <w:szCs w:val="32"/>
          <w:lang w:eastAsia="zh-CN"/>
        </w:rPr>
        <w:t>（试行）</w:t>
      </w:r>
      <w:r>
        <w:rPr>
          <w:rFonts w:hint="eastAsia"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eastAsia="zh-CN" w:bidi="ar-SA"/>
        </w:rPr>
        <w:t>已经市政府第17届43次常务会议讨论通过，现</w:t>
      </w:r>
      <w:r>
        <w:rPr>
          <w:rFonts w:hint="eastAsia" w:ascii="楷体" w:hAnsi="楷体" w:eastAsia="楷体" w:cs="楷体"/>
          <w:b w:val="0"/>
          <w:bCs w:val="0"/>
          <w:kern w:val="2"/>
          <w:sz w:val="32"/>
          <w:szCs w:val="32"/>
          <w:lang w:val="en-US" w:eastAsia="zh-CN" w:bidi="ar-SA"/>
        </w:rPr>
        <w:t>印发给你们，请</w:t>
      </w:r>
      <w:r>
        <w:rPr>
          <w:rFonts w:hint="eastAsia" w:ascii="楷体" w:hAnsi="楷体" w:eastAsia="楷体" w:cs="楷体"/>
          <w:b w:val="0"/>
          <w:bCs w:val="0"/>
          <w:kern w:val="2"/>
          <w:sz w:val="32"/>
          <w:szCs w:val="32"/>
          <w:lang w:eastAsia="zh-CN" w:bidi="ar-SA"/>
        </w:rPr>
        <w:t>认</w:t>
      </w:r>
      <w:r>
        <w:rPr>
          <w:rFonts w:hint="eastAsia" w:ascii="楷体" w:hAnsi="楷体" w:eastAsia="楷体" w:cs="楷体"/>
          <w:b w:val="0"/>
          <w:bCs w:val="0"/>
          <w:kern w:val="2"/>
          <w:sz w:val="32"/>
          <w:szCs w:val="32"/>
          <w:lang w:val="en-US" w:eastAsia="zh-CN" w:bidi="ar-SA"/>
        </w:rPr>
        <w:t>真贯彻执行。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 w:hAnsi="楷体" w:eastAsia="楷体" w:cs="楷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 w:hAnsi="楷体" w:eastAsia="楷体" w:cs="楷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楷体" w:hAnsi="楷体" w:eastAsia="楷体" w:cs="楷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kern w:val="2"/>
          <w:sz w:val="32"/>
          <w:szCs w:val="32"/>
          <w:lang w:eastAsia="zh-CN" w:bidi="ar-SA"/>
        </w:rPr>
      </w:pPr>
      <w:r>
        <w:rPr>
          <w:rFonts w:hint="eastAsia" w:ascii="楷体" w:hAnsi="楷体" w:eastAsia="楷体" w:cs="楷体"/>
          <w:kern w:val="2"/>
          <w:sz w:val="32"/>
          <w:szCs w:val="32"/>
          <w:lang w:val="en-US" w:eastAsia="zh-CN" w:bidi="ar-SA"/>
        </w:rPr>
        <w:t xml:space="preserve">                 牡丹江市人民政府</w:t>
      </w:r>
      <w:r>
        <w:rPr>
          <w:rFonts w:hint="eastAsia" w:ascii="楷体" w:hAnsi="楷体" w:eastAsia="楷体" w:cs="楷体"/>
          <w:kern w:val="2"/>
          <w:sz w:val="32"/>
          <w:szCs w:val="32"/>
          <w:lang w:eastAsia="zh-CN" w:bidi="ar-SA"/>
        </w:rPr>
        <w:t>办公室</w:t>
      </w:r>
    </w:p>
    <w:p>
      <w:pPr>
        <w:widowControl w:val="0"/>
        <w:wordWrap/>
        <w:adjustRightInd/>
        <w:snapToGrid/>
        <w:spacing w:line="600" w:lineRule="exact"/>
        <w:jc w:val="center"/>
        <w:textAlignment w:val="auto"/>
        <w:rPr>
          <w:rFonts w:hint="eastAsia" w:ascii="楷体" w:hAnsi="楷体" w:eastAsia="楷体" w:cs="楷体"/>
          <w:sz w:val="32"/>
          <w:szCs w:val="32"/>
        </w:rPr>
      </w:pPr>
      <w:r>
        <w:rPr>
          <w:rFonts w:hint="eastAsia" w:ascii="楷体" w:hAnsi="楷体" w:eastAsia="楷体" w:cs="楷体"/>
          <w:kern w:val="2"/>
          <w:sz w:val="32"/>
          <w:szCs w:val="32"/>
          <w:lang w:val="en-US" w:eastAsia="zh-CN" w:bidi="ar-SA"/>
        </w:rPr>
        <w:t xml:space="preserve">                 202</w:t>
      </w:r>
      <w:r>
        <w:rPr>
          <w:rFonts w:hint="eastAsia" w:ascii="楷体" w:hAnsi="楷体" w:eastAsia="楷体" w:cs="楷体"/>
          <w:kern w:val="2"/>
          <w:sz w:val="32"/>
          <w:szCs w:val="32"/>
          <w:lang w:eastAsia="zh-CN" w:bidi="ar-SA"/>
        </w:rPr>
        <w:t>4</w:t>
      </w:r>
      <w:r>
        <w:rPr>
          <w:rFonts w:hint="eastAsia" w:ascii="楷体" w:hAnsi="楷体" w:eastAsia="楷体" w:cs="楷体"/>
          <w:kern w:val="2"/>
          <w:sz w:val="32"/>
          <w:szCs w:val="32"/>
          <w:lang w:val="en-US" w:eastAsia="zh-CN" w:bidi="ar-SA"/>
        </w:rPr>
        <w:t>年</w:t>
      </w:r>
      <w:r>
        <w:rPr>
          <w:rFonts w:hint="default" w:ascii="楷体" w:hAnsi="楷体" w:eastAsia="楷体" w:cs="楷体"/>
          <w:kern w:val="2"/>
          <w:sz w:val="32"/>
          <w:szCs w:val="32"/>
          <w:lang w:eastAsia="zh-CN" w:bidi="ar-SA"/>
        </w:rPr>
        <w:t>2</w:t>
      </w:r>
      <w:r>
        <w:rPr>
          <w:rFonts w:hint="eastAsia" w:ascii="楷体" w:hAnsi="楷体" w:eastAsia="楷体" w:cs="楷体"/>
          <w:kern w:val="2"/>
          <w:sz w:val="32"/>
          <w:szCs w:val="32"/>
          <w:lang w:val="en-US" w:eastAsia="zh-CN" w:bidi="ar-SA"/>
        </w:rPr>
        <w:t>月</w:t>
      </w:r>
      <w:r>
        <w:rPr>
          <w:rFonts w:hint="default" w:ascii="楷体" w:hAnsi="楷体" w:eastAsia="楷体" w:cs="楷体"/>
          <w:kern w:val="2"/>
          <w:sz w:val="32"/>
          <w:szCs w:val="32"/>
          <w:lang w:eastAsia="zh-CN" w:bidi="ar-SA"/>
        </w:rPr>
        <w:t>4</w:t>
      </w:r>
      <w:r>
        <w:rPr>
          <w:rFonts w:hint="eastAsia" w:ascii="楷体" w:hAnsi="楷体" w:eastAsia="楷体" w:cs="楷体"/>
          <w:kern w:val="2"/>
          <w:sz w:val="32"/>
          <w:szCs w:val="32"/>
          <w:lang w:val="en-US" w:eastAsia="zh-CN" w:bidi="ar-SA"/>
        </w:rPr>
        <w:t>日</w:t>
      </w:r>
    </w:p>
    <w:p>
      <w:pPr>
        <w:spacing w:line="600" w:lineRule="exact"/>
        <w:jc w:val="center"/>
        <w:rPr>
          <w:rFonts w:hint="eastAsia" w:ascii="仿宋_GB2312" w:hAnsi="仿宋_GB2312" w:eastAsia="仿宋_GB2312" w:cs="仿宋_GB2312"/>
          <w:b w:val="0"/>
          <w:bCs w:val="0"/>
          <w:sz w:val="32"/>
          <w:szCs w:val="32"/>
          <w:lang w:eastAsia="zh-CN"/>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牡丹江</w:t>
      </w:r>
      <w:r>
        <w:rPr>
          <w:rFonts w:hint="eastAsia" w:ascii="方正小标宋简体" w:hAnsi="方正小标宋简体" w:eastAsia="方正小标宋简体" w:cs="方正小标宋简体"/>
          <w:b w:val="0"/>
          <w:bCs w:val="0"/>
          <w:sz w:val="44"/>
          <w:szCs w:val="44"/>
        </w:rPr>
        <w:t>市公共资源交易信用评价</w:t>
      </w:r>
    </w:p>
    <w:p>
      <w:pPr>
        <w:spacing w:line="60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管理办法</w:t>
      </w:r>
      <w:r>
        <w:rPr>
          <w:rFonts w:hint="eastAsia" w:ascii="方正小标宋简体" w:hAnsi="方正小标宋简体" w:eastAsia="方正小标宋简体" w:cs="方正小标宋简体"/>
          <w:b w:val="0"/>
          <w:bCs w:val="0"/>
          <w:sz w:val="44"/>
          <w:szCs w:val="44"/>
          <w:lang w:eastAsia="zh-CN"/>
        </w:rPr>
        <w:t>（试行）</w:t>
      </w:r>
    </w:p>
    <w:p>
      <w:pPr>
        <w:spacing w:line="600" w:lineRule="exact"/>
        <w:jc w:val="center"/>
        <w:rPr>
          <w:rFonts w:hint="eastAsia" w:ascii="仿宋_GB2312" w:hAnsi="仿宋_GB2312" w:eastAsia="仿宋_GB2312" w:cs="仿宋_GB2312"/>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第一条 为</w:t>
      </w:r>
      <w:r>
        <w:rPr>
          <w:rFonts w:hint="eastAsia" w:ascii="仿宋_GB2312" w:hAnsi="仿宋_GB2312" w:eastAsia="仿宋_GB2312" w:cs="仿宋_GB2312"/>
          <w:sz w:val="32"/>
          <w:szCs w:val="32"/>
          <w:lang w:eastAsia="zh-CN"/>
        </w:rPr>
        <w:t>规范公共资源领域交易行为，推进</w:t>
      </w:r>
      <w:r>
        <w:rPr>
          <w:rFonts w:hint="eastAsia" w:ascii="仿宋_GB2312" w:hAnsi="仿宋_GB2312" w:eastAsia="仿宋_GB2312" w:cs="仿宋_GB2312"/>
          <w:sz w:val="32"/>
          <w:szCs w:val="32"/>
        </w:rPr>
        <w:t>我市公共资源交易领域信用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体系建设，完善守信激励和失信惩戒</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营造诚实守信的公共资源交易环境，</w:t>
      </w:r>
      <w:r>
        <w:rPr>
          <w:rFonts w:hint="eastAsia" w:ascii="仿宋_GB2312" w:hAnsi="仿宋_GB2312" w:eastAsia="仿宋_GB2312" w:cs="仿宋_GB2312"/>
          <w:sz w:val="32"/>
          <w:szCs w:val="32"/>
        </w:rPr>
        <w:t>增强公共资源交</w:t>
      </w:r>
      <w:r>
        <w:rPr>
          <w:rFonts w:hint="eastAsia" w:ascii="仿宋_GB2312" w:hAnsi="仿宋_GB2312" w:eastAsia="仿宋_GB2312" w:cs="仿宋_GB2312"/>
          <w:color w:val="000000"/>
          <w:sz w:val="32"/>
          <w:szCs w:val="32"/>
        </w:rPr>
        <w:t>易当事人诚实守信、依法交易意识，维护市场公平竞争</w:t>
      </w:r>
      <w:r>
        <w:rPr>
          <w:rFonts w:hint="eastAsia" w:ascii="仿宋_GB2312" w:hAnsi="仿宋_GB2312" w:eastAsia="仿宋_GB2312" w:cs="仿宋_GB2312"/>
          <w:color w:val="000000"/>
          <w:sz w:val="32"/>
          <w:szCs w:val="32"/>
          <w:lang w:eastAsia="zh-CN"/>
        </w:rPr>
        <w:t>环境</w:t>
      </w:r>
      <w:r>
        <w:rPr>
          <w:rFonts w:hint="eastAsia" w:ascii="仿宋_GB2312" w:hAnsi="仿宋_GB2312" w:eastAsia="仿宋_GB2312" w:cs="仿宋_GB2312"/>
          <w:color w:val="000000"/>
          <w:sz w:val="32"/>
          <w:szCs w:val="32"/>
        </w:rPr>
        <w:t>，根据《关于创新政府配置资源方式的指导意见》（中办发〔2016〕75号）</w:t>
      </w:r>
      <w:r>
        <w:rPr>
          <w:rFonts w:hint="eastAsia" w:ascii="仿宋_GB2312" w:hAnsi="仿宋_GB2312" w:eastAsia="仿宋_GB2312" w:cs="仿宋_GB2312"/>
          <w:color w:val="000000"/>
          <w:sz w:val="32"/>
          <w:szCs w:val="32"/>
          <w:lang w:eastAsia="zh-CN"/>
        </w:rPr>
        <w:t>、《国务院办公厅转发国家发展改革委关于深化公共资源交易平台整合共享指导意见</w:t>
      </w:r>
      <w:r>
        <w:rPr>
          <w:rFonts w:hint="default" w:ascii="仿宋_GB2312" w:hAnsi="仿宋_GB2312" w:eastAsia="仿宋_GB2312" w:cs="仿宋_GB2312"/>
          <w:color w:val="000000"/>
          <w:sz w:val="32"/>
          <w:szCs w:val="32"/>
          <w:lang w:eastAsia="zh-CN"/>
        </w:rPr>
        <w:t>的通知</w:t>
      </w:r>
      <w:r>
        <w:rPr>
          <w:rFonts w:hint="eastAsia" w:ascii="仿宋_GB2312" w:hAnsi="仿宋_GB2312" w:eastAsia="仿宋_GB2312" w:cs="仿宋_GB2312"/>
          <w:color w:val="000000"/>
          <w:sz w:val="32"/>
          <w:szCs w:val="32"/>
          <w:lang w:eastAsia="zh-CN"/>
        </w:rPr>
        <w:t>》（国办函〔2019〕41号）、《优化营商环境条例》《公共资源交易平台管理暂行办法》《黑龙江省人民政府办公厅关于印发黑龙江省进一步深化市场主体信用分级分类监管若干措施的通知》（黑政办规〔20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lang w:eastAsia="zh-CN"/>
        </w:rPr>
        <w:t>〕4</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号）、《公共资源交易主体信用评价实施指南》（GB/Z41465-2022）</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规定，结合本市实际，制定本办法。</w:t>
      </w:r>
    </w:p>
    <w:p>
      <w:pPr>
        <w:spacing w:line="600" w:lineRule="exact"/>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第二条 本办法适用于进入</w:t>
      </w:r>
      <w:r>
        <w:rPr>
          <w:rFonts w:hint="eastAsia" w:ascii="仿宋_GB2312" w:hAnsi="仿宋_GB2312" w:eastAsia="仿宋_GB2312" w:cs="仿宋_GB2312"/>
          <w:sz w:val="32"/>
          <w:szCs w:val="32"/>
          <w:lang w:eastAsia="zh-CN"/>
        </w:rPr>
        <w:t>牡丹江</w:t>
      </w:r>
      <w:r>
        <w:rPr>
          <w:rFonts w:hint="eastAsia" w:ascii="仿宋_GB2312" w:hAnsi="仿宋_GB2312" w:eastAsia="仿宋_GB2312" w:cs="仿宋_GB2312"/>
          <w:sz w:val="32"/>
          <w:szCs w:val="32"/>
        </w:rPr>
        <w:t>市公共资源交易平台参</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公共资源</w:t>
      </w:r>
      <w:r>
        <w:rPr>
          <w:rFonts w:hint="eastAsia" w:ascii="仿宋_GB2312" w:hAnsi="仿宋_GB2312" w:eastAsia="仿宋_GB2312" w:cs="仿宋_GB2312"/>
          <w:sz w:val="32"/>
          <w:szCs w:val="32"/>
          <w:lang w:eastAsia="zh-CN"/>
        </w:rPr>
        <w:t>项目交易活动的</w:t>
      </w:r>
      <w:r>
        <w:rPr>
          <w:rFonts w:hint="eastAsia" w:ascii="仿宋_GB2312" w:hAnsi="仿宋_GB2312" w:eastAsia="仿宋_GB2312" w:cs="仿宋_GB2312"/>
          <w:sz w:val="32"/>
          <w:szCs w:val="32"/>
        </w:rPr>
        <w:t>交易当事人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信用评价与管理。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本办法所称</w:t>
      </w:r>
      <w:r>
        <w:rPr>
          <w:rFonts w:hint="eastAsia" w:ascii="仿宋_GB2312" w:hAnsi="仿宋_GB2312" w:eastAsia="仿宋_GB2312" w:cs="仿宋_GB2312"/>
          <w:sz w:val="32"/>
          <w:szCs w:val="32"/>
        </w:rPr>
        <w:t>公共资源交易当事人</w:t>
      </w:r>
      <w:r>
        <w:rPr>
          <w:rFonts w:hint="eastAsia" w:ascii="仿宋_GB2312" w:hAnsi="仿宋_GB2312" w:eastAsia="仿宋_GB2312" w:cs="仿宋_GB2312"/>
          <w:sz w:val="32"/>
          <w:szCs w:val="32"/>
          <w:lang w:eastAsia="zh-CN"/>
        </w:rPr>
        <w:t>，包括参与公共资源交易活动的</w:t>
      </w:r>
      <w:r>
        <w:rPr>
          <w:rFonts w:hint="eastAsia" w:ascii="仿宋_GB2312" w:hAnsi="仿宋_GB2312" w:eastAsia="仿宋_GB2312" w:cs="仿宋_GB2312"/>
          <w:sz w:val="32"/>
          <w:szCs w:val="32"/>
        </w:rPr>
        <w:t>招标代理机构</w:t>
      </w:r>
      <w:r>
        <w:rPr>
          <w:rFonts w:hint="eastAsia" w:ascii="仿宋_GB2312" w:hAnsi="仿宋_GB2312" w:eastAsia="仿宋_GB2312" w:cs="仿宋_GB2312"/>
          <w:sz w:val="32"/>
          <w:szCs w:val="32"/>
          <w:highlight w:val="none"/>
        </w:rPr>
        <w:t>、拍卖机构、产权交易机构等</w:t>
      </w:r>
      <w:r>
        <w:rPr>
          <w:rFonts w:hint="eastAsia" w:ascii="仿宋_GB2312" w:hAnsi="仿宋_GB2312" w:eastAsia="仿宋_GB2312" w:cs="仿宋_GB2312"/>
          <w:sz w:val="32"/>
          <w:szCs w:val="32"/>
          <w:highlight w:val="none"/>
          <w:lang w:eastAsia="zh-CN"/>
        </w:rPr>
        <w:t>中介代理和服务机构；</w:t>
      </w:r>
      <w:r>
        <w:rPr>
          <w:rFonts w:hint="eastAsia" w:ascii="仿宋_GB2312" w:hAnsi="仿宋_GB2312" w:eastAsia="仿宋_GB2312" w:cs="仿宋_GB2312"/>
          <w:sz w:val="32"/>
          <w:szCs w:val="32"/>
        </w:rPr>
        <w:t>投标人、供应商、</w:t>
      </w:r>
      <w:r>
        <w:rPr>
          <w:rFonts w:hint="eastAsia" w:ascii="仿宋_GB2312" w:hAnsi="仿宋_GB2312" w:eastAsia="仿宋_GB2312" w:cs="仿宋_GB2312"/>
          <w:sz w:val="32"/>
          <w:szCs w:val="32"/>
          <w:lang w:eastAsia="zh-CN"/>
        </w:rPr>
        <w:t>受让人、</w:t>
      </w:r>
      <w:r>
        <w:rPr>
          <w:rFonts w:hint="eastAsia" w:ascii="仿宋_GB2312" w:hAnsi="仿宋_GB2312" w:eastAsia="仿宋_GB2312" w:cs="仿宋_GB2312"/>
          <w:sz w:val="32"/>
          <w:szCs w:val="32"/>
        </w:rPr>
        <w:t>竞买人等项目响应方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以及相关从业人员等</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本办法所称公共资源交易是指全市政府采购、工程建设项目招投标、国有土地使用权及矿业权的招标、拍卖、挂牌以及国有产权的转让、出租等具有公有性、公益性的资源交易活动。</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本办法所称公共资源交易信用评价管理是指按照一定的方法和程序，对交易当事人的信用状况作出评估，并以信用分数或信用等级形式来展示的一种管理活动。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市发改委负责协调指导全市公共资源交易信用评价工作，</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行业行政监管部门</w:t>
      </w:r>
      <w:r>
        <w:rPr>
          <w:rFonts w:hint="eastAsia" w:ascii="仿宋_GB2312" w:hAnsi="仿宋_GB2312" w:eastAsia="仿宋_GB2312" w:cs="仿宋_GB2312"/>
          <w:sz w:val="32"/>
          <w:szCs w:val="32"/>
        </w:rPr>
        <w:t>按照职责分工，对各自领域、行业信用评价工作进行监督管理。</w:t>
      </w:r>
    </w:p>
    <w:p>
      <w:pPr>
        <w:spacing w:line="600" w:lineRule="exact"/>
        <w:ind w:firstLine="640" w:firstLineChars="200"/>
        <w:rPr>
          <w:rFonts w:hint="eastAsia" w:ascii="仿宋_GB2312" w:hAnsi="仿宋_GB2312" w:eastAsia="仿宋_GB2312" w:cs="仿宋_GB2312"/>
          <w:color w:val="0000FF"/>
          <w:sz w:val="32"/>
          <w:szCs w:val="32"/>
          <w:highlight w:val="green"/>
          <w:lang w:eastAsia="zh-CN"/>
        </w:rPr>
      </w:pPr>
      <w:r>
        <w:rPr>
          <w:rFonts w:hint="eastAsia" w:ascii="仿宋_GB2312" w:hAnsi="仿宋_GB2312" w:eastAsia="仿宋_GB2312" w:cs="仿宋_GB2312"/>
          <w:sz w:val="32"/>
          <w:szCs w:val="32"/>
        </w:rPr>
        <w:t>市公共资源交易中心（以下简称交易中心）</w:t>
      </w:r>
      <w:r>
        <w:rPr>
          <w:rFonts w:hint="eastAsia" w:ascii="仿宋_GB2312" w:hAnsi="仿宋_GB2312" w:eastAsia="仿宋_GB2312" w:cs="仿宋_GB2312"/>
          <w:sz w:val="32"/>
          <w:szCs w:val="32"/>
          <w:lang w:eastAsia="zh-CN"/>
        </w:rPr>
        <w:t>作为全市公共资源交易服务部门，负责推进公共资源交易领域信用评价体系建设，并</w:t>
      </w:r>
      <w:r>
        <w:rPr>
          <w:rFonts w:hint="eastAsia" w:ascii="仿宋_GB2312" w:hAnsi="仿宋_GB2312" w:eastAsia="仿宋_GB2312" w:cs="仿宋_GB2312"/>
          <w:sz w:val="32"/>
          <w:szCs w:val="32"/>
        </w:rPr>
        <w:t>具体开展公共资源交易</w:t>
      </w:r>
      <w:r>
        <w:rPr>
          <w:rFonts w:hint="eastAsia" w:ascii="仿宋_GB2312" w:hAnsi="仿宋_GB2312" w:eastAsia="仿宋_GB2312" w:cs="仿宋_GB2312"/>
          <w:sz w:val="32"/>
          <w:szCs w:val="32"/>
          <w:lang w:eastAsia="zh-CN"/>
        </w:rPr>
        <w:t>领域信用信息归集、量化记分、信用考评管理等工作。</w:t>
      </w:r>
    </w:p>
    <w:p>
      <w:pPr>
        <w:spacing w:line="600" w:lineRule="exact"/>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条 公共资源交易信用评价工作应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维护社会公共利益和公共资源交易当事人的合法权益，遵循公开、公平、公正、</w:t>
      </w:r>
      <w:r>
        <w:rPr>
          <w:rFonts w:hint="eastAsia" w:ascii="仿宋_GB2312" w:hAnsi="仿宋_GB2312" w:eastAsia="仿宋_GB2312" w:cs="仿宋_GB2312"/>
          <w:sz w:val="32"/>
          <w:szCs w:val="32"/>
          <w:lang w:eastAsia="zh-CN"/>
        </w:rPr>
        <w:t>客观、</w:t>
      </w:r>
      <w:r>
        <w:rPr>
          <w:rFonts w:hint="eastAsia" w:ascii="仿宋_GB2312" w:hAnsi="仿宋_GB2312" w:eastAsia="仿宋_GB2312" w:cs="仿宋_GB2312"/>
          <w:sz w:val="32"/>
          <w:szCs w:val="32"/>
        </w:rPr>
        <w:t>合法、安全、及时、准确、共享的原则。</w:t>
      </w:r>
    </w:p>
    <w:p>
      <w:pPr>
        <w:spacing w:line="600" w:lineRule="exact"/>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除涉及国家秘密、国家安全和依法应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受保护的商业秘密、个人隐私外，公共资源交易信用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信息应当向社会公开。</w:t>
      </w:r>
    </w:p>
    <w:p>
      <w:pPr>
        <w:spacing w:line="600" w:lineRule="exact"/>
        <w:ind w:firstLine="65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val="en-US" w:eastAsia="zh-CN"/>
        </w:rPr>
        <w:t>相关行业行政监管部门根据信用评价的评分细则</w:t>
      </w:r>
      <w:r>
        <w:rPr>
          <w:rFonts w:hint="eastAsia" w:ascii="仿宋_GB2312" w:hAnsi="仿宋_GB2312" w:eastAsia="仿宋_GB2312" w:cs="仿宋_GB2312"/>
          <w:sz w:val="32"/>
          <w:szCs w:val="32"/>
          <w:lang w:eastAsia="zh-CN"/>
        </w:rPr>
        <w:t>对公共资源交易当事人行为进行信用评价，</w:t>
      </w:r>
      <w:r>
        <w:rPr>
          <w:rFonts w:hint="eastAsia" w:ascii="仿宋_GB2312" w:hAnsi="仿宋_GB2312" w:eastAsia="仿宋_GB2312" w:cs="仿宋_GB2312"/>
          <w:sz w:val="32"/>
          <w:szCs w:val="32"/>
          <w:lang w:val="en-US" w:eastAsia="zh-CN"/>
        </w:rPr>
        <w:t>并由交易中心对信用分值进行</w:t>
      </w:r>
      <w:r>
        <w:rPr>
          <w:rFonts w:hint="eastAsia" w:ascii="仿宋_GB2312" w:hAnsi="仿宋_GB2312" w:eastAsia="仿宋_GB2312" w:cs="仿宋_GB2312"/>
          <w:sz w:val="32"/>
          <w:szCs w:val="32"/>
          <w:lang w:eastAsia="zh-CN"/>
        </w:rPr>
        <w:t>记录。</w:t>
      </w:r>
    </w:p>
    <w:p>
      <w:pPr>
        <w:spacing w:line="600" w:lineRule="exact"/>
        <w:ind w:firstLine="658"/>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公共资源交易信用评价采用量化记分制并实行动态管理、动态评价，记分采取累加。</w:t>
      </w:r>
      <w:r>
        <w:rPr>
          <w:rFonts w:hint="eastAsia" w:ascii="仿宋_GB2312" w:hAnsi="仿宋_GB2312" w:eastAsia="仿宋_GB2312" w:cs="仿宋_GB2312"/>
          <w:sz w:val="32"/>
          <w:szCs w:val="32"/>
        </w:rPr>
        <w:t>交易中心建立统一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信用评价信息</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w:t>
      </w:r>
    </w:p>
    <w:p>
      <w:pPr>
        <w:spacing w:line="600" w:lineRule="exact"/>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条 交易中心</w:t>
      </w:r>
      <w:r>
        <w:rPr>
          <w:rFonts w:hint="eastAsia" w:ascii="仿宋_GB2312" w:hAnsi="仿宋_GB2312" w:eastAsia="仿宋_GB2312" w:cs="仿宋_GB2312"/>
          <w:sz w:val="32"/>
          <w:szCs w:val="32"/>
          <w:lang w:eastAsia="zh-CN"/>
        </w:rPr>
        <w:t>在信用评价工作中发现交易当事人存在违反法律法规及有关规定的</w:t>
      </w:r>
      <w:r>
        <w:rPr>
          <w:rFonts w:hint="eastAsia" w:ascii="仿宋_GB2312" w:hAnsi="仿宋_GB2312" w:eastAsia="仿宋_GB2312" w:cs="仿宋_GB2312"/>
          <w:sz w:val="32"/>
          <w:szCs w:val="32"/>
          <w:lang w:val="en-US" w:eastAsia="zh-CN"/>
        </w:rPr>
        <w:t>不规范</w:t>
      </w:r>
      <w:r>
        <w:rPr>
          <w:rFonts w:hint="eastAsia" w:ascii="仿宋_GB2312" w:hAnsi="仿宋_GB2312" w:eastAsia="仿宋_GB2312" w:cs="仿宋_GB2312"/>
          <w:sz w:val="32"/>
          <w:szCs w:val="32"/>
          <w:lang w:eastAsia="zh-CN"/>
        </w:rPr>
        <w:t>行为，应当</w:t>
      </w:r>
      <w:r>
        <w:rPr>
          <w:rFonts w:hint="eastAsia" w:ascii="仿宋_GB2312" w:hAnsi="仿宋_GB2312" w:eastAsia="仿宋_GB2312" w:cs="仿宋_GB2312"/>
          <w:sz w:val="32"/>
          <w:szCs w:val="32"/>
          <w:lang w:val="en-US" w:eastAsia="zh-CN"/>
        </w:rPr>
        <w:t>进行记录并</w:t>
      </w:r>
      <w:r>
        <w:rPr>
          <w:rFonts w:hint="eastAsia" w:ascii="仿宋_GB2312" w:hAnsi="仿宋_GB2312" w:eastAsia="仿宋_GB2312" w:cs="仿宋_GB2312"/>
          <w:sz w:val="32"/>
          <w:szCs w:val="32"/>
          <w:lang w:eastAsia="zh-CN"/>
        </w:rPr>
        <w:t>及时报送至相关行业行政监管部门，行政监管部门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lang w:eastAsia="zh-CN"/>
        </w:rPr>
        <w:t>依法处理</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color w:val="auto"/>
          <w:sz w:val="32"/>
          <w:szCs w:val="32"/>
          <w:highlight w:val="none"/>
          <w:lang w:eastAsia="zh-CN"/>
        </w:rPr>
        <w:t>黑龙江省公共资源交易网（黑龙江省政府采购网）</w:t>
      </w:r>
      <w:r>
        <w:rPr>
          <w:rFonts w:hint="eastAsia" w:ascii="仿宋_GB2312" w:hAnsi="仿宋_GB2312" w:eastAsia="仿宋_GB2312" w:cs="仿宋_GB2312"/>
          <w:color w:val="auto"/>
          <w:sz w:val="32"/>
          <w:szCs w:val="32"/>
          <w:highlight w:val="none"/>
          <w:lang w:val="en-US" w:eastAsia="zh-CN"/>
        </w:rPr>
        <w:t>进行</w:t>
      </w:r>
      <w:r>
        <w:rPr>
          <w:rFonts w:hint="eastAsia" w:ascii="仿宋_GB2312" w:hAnsi="仿宋_GB2312" w:eastAsia="仿宋_GB2312" w:cs="仿宋_GB2312"/>
          <w:sz w:val="32"/>
          <w:szCs w:val="32"/>
        </w:rPr>
        <w:t>公示。公示内容为交易当事人名称、</w:t>
      </w:r>
      <w:r>
        <w:rPr>
          <w:rFonts w:hint="eastAsia" w:ascii="仿宋_GB2312" w:hAnsi="仿宋_GB2312" w:eastAsia="仿宋_GB2312" w:cs="仿宋_GB2312"/>
          <w:sz w:val="32"/>
          <w:szCs w:val="32"/>
          <w:lang w:eastAsia="zh-CN"/>
        </w:rPr>
        <w:t>交易</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不规范行为的内容</w:t>
      </w:r>
      <w:r>
        <w:rPr>
          <w:rFonts w:hint="eastAsia" w:ascii="仿宋_GB2312" w:hAnsi="仿宋_GB2312" w:eastAsia="仿宋_GB2312" w:cs="仿宋_GB2312"/>
          <w:sz w:val="32"/>
          <w:szCs w:val="32"/>
        </w:rPr>
        <w:t>。公示期为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个工作日，经公示无异议，</w:t>
      </w:r>
      <w:r>
        <w:rPr>
          <w:rFonts w:hint="eastAsia" w:ascii="仿宋_GB2312" w:hAnsi="仿宋_GB2312" w:eastAsia="仿宋_GB2312" w:cs="仿宋_GB2312"/>
          <w:sz w:val="32"/>
          <w:szCs w:val="32"/>
          <w:lang w:eastAsia="zh-CN"/>
        </w:rPr>
        <w:t>交易中心将其</w:t>
      </w:r>
      <w:r>
        <w:rPr>
          <w:rFonts w:hint="eastAsia" w:ascii="仿宋_GB2312" w:hAnsi="仿宋_GB2312" w:eastAsia="仿宋_GB2312" w:cs="仿宋_GB2312"/>
          <w:sz w:val="32"/>
          <w:szCs w:val="32"/>
        </w:rPr>
        <w:t>计入信用评价信息</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中介代理和服务机构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响应方、评标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w:t>
      </w:r>
      <w:r>
        <w:rPr>
          <w:rFonts w:hint="eastAsia" w:ascii="仿宋_GB2312" w:hAnsi="仿宋_GB2312" w:eastAsia="仿宋_GB2312" w:cs="仿宋_GB2312"/>
          <w:b w:val="0"/>
          <w:bCs w:val="0"/>
          <w:color w:val="auto"/>
          <w:sz w:val="32"/>
          <w:szCs w:val="32"/>
          <w:lang w:val="en-US" w:eastAsia="zh-CN"/>
        </w:rPr>
        <w:t>对</w:t>
      </w:r>
      <w:r>
        <w:rPr>
          <w:rFonts w:hint="eastAsia" w:ascii="仿宋_GB2312" w:hAnsi="仿宋_GB2312" w:eastAsia="仿宋_GB2312" w:cs="仿宋_GB2312"/>
          <w:color w:val="auto"/>
          <w:sz w:val="32"/>
          <w:szCs w:val="32"/>
          <w:lang w:eastAsia="zh-CN"/>
        </w:rPr>
        <w:t>公布的</w:t>
      </w:r>
      <w:r>
        <w:rPr>
          <w:rFonts w:hint="eastAsia" w:ascii="仿宋_GB2312" w:hAnsi="仿宋_GB2312" w:eastAsia="仿宋_GB2312" w:cs="仿宋_GB2312"/>
          <w:sz w:val="32"/>
          <w:szCs w:val="32"/>
        </w:rPr>
        <w:t>不规范行为</w:t>
      </w:r>
      <w:r>
        <w:rPr>
          <w:rFonts w:hint="eastAsia" w:ascii="仿宋_GB2312" w:hAnsi="仿宋_GB2312" w:eastAsia="仿宋_GB2312" w:cs="仿宋_GB2312"/>
          <w:b w:val="0"/>
          <w:bCs w:val="0"/>
          <w:color w:val="auto"/>
          <w:sz w:val="32"/>
          <w:szCs w:val="32"/>
          <w:lang w:val="en-US" w:eastAsia="zh-CN"/>
        </w:rPr>
        <w:t>有异议的，</w:t>
      </w:r>
      <w:r>
        <w:rPr>
          <w:rFonts w:hint="eastAsia" w:ascii="仿宋_GB2312" w:hAnsi="仿宋_GB2312" w:eastAsia="仿宋_GB2312" w:cs="仿宋_GB2312"/>
          <w:sz w:val="32"/>
          <w:szCs w:val="32"/>
        </w:rPr>
        <w:t>应当在公示开始之日起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个工作日内以书面形式向</w:t>
      </w:r>
      <w:r>
        <w:rPr>
          <w:rFonts w:hint="eastAsia" w:ascii="仿宋_GB2312" w:hAnsi="仿宋_GB2312" w:eastAsia="仿宋_GB2312" w:cs="仿宋_GB2312"/>
          <w:sz w:val="32"/>
          <w:szCs w:val="32"/>
          <w:lang w:eastAsia="zh-CN"/>
        </w:rPr>
        <w:t>有关行政监管部门</w:t>
      </w:r>
      <w:r>
        <w:rPr>
          <w:rFonts w:hint="eastAsia" w:ascii="仿宋_GB2312" w:hAnsi="仿宋_GB2312" w:eastAsia="仿宋_GB2312" w:cs="仿宋_GB2312"/>
          <w:sz w:val="32"/>
          <w:szCs w:val="32"/>
        </w:rPr>
        <w:t>提出异议</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lang w:val="en-US" w:eastAsia="zh-CN"/>
        </w:rPr>
        <w:t>异议人</w:t>
      </w:r>
      <w:r>
        <w:rPr>
          <w:rFonts w:hint="eastAsia" w:ascii="仿宋_GB2312" w:hAnsi="仿宋_GB2312" w:eastAsia="仿宋_GB2312" w:cs="仿宋_GB2312"/>
          <w:b w:val="0"/>
          <w:bCs w:val="0"/>
          <w:color w:val="auto"/>
          <w:sz w:val="32"/>
          <w:szCs w:val="32"/>
          <w:highlight w:val="none"/>
          <w:lang w:val="en-US" w:eastAsia="zh-CN"/>
        </w:rPr>
        <w:t>应当提供真实身份、联系方式、具体事实、理由及证据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color w:val="auto"/>
          <w:sz w:val="32"/>
          <w:szCs w:val="32"/>
          <w:lang w:val="en-US" w:eastAsia="zh-CN"/>
        </w:rPr>
        <w:t>不符合上述规定的异议申请，不予受理。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sz w:val="32"/>
          <w:szCs w:val="32"/>
          <w:lang w:eastAsia="zh-CN"/>
        </w:rPr>
        <w:t>行政监管部门应当</w:t>
      </w:r>
      <w:r>
        <w:rPr>
          <w:rFonts w:hint="eastAsia" w:ascii="仿宋_GB2312" w:hAnsi="仿宋_GB2312" w:eastAsia="仿宋_GB2312" w:cs="仿宋_GB2312"/>
          <w:b w:val="0"/>
          <w:bCs w:val="0"/>
          <w:color w:val="auto"/>
          <w:sz w:val="32"/>
          <w:szCs w:val="32"/>
          <w:lang w:val="en-US" w:eastAsia="zh-CN"/>
        </w:rPr>
        <w:t>自受理异议申请之日起5个工作日内作出书面处理意见，异议受理期间，暂不公布异议人评价结果，行业行政监管部门对异议申请作出处理意见后，行业行政监管部门根据处理意见重新评分，交易中心对评价分值进行记录并公布评价结果。</w:t>
      </w:r>
    </w:p>
    <w:p>
      <w:pPr>
        <w:spacing w:line="600" w:lineRule="exact"/>
        <w:ind w:firstLine="65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交易中心负责</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交易当事人的</w:t>
      </w:r>
      <w:r>
        <w:rPr>
          <w:rFonts w:hint="eastAsia" w:ascii="仿宋_GB2312" w:hAnsi="仿宋_GB2312" w:eastAsia="仿宋_GB2312" w:cs="仿宋_GB2312"/>
          <w:sz w:val="32"/>
          <w:szCs w:val="32"/>
        </w:rPr>
        <w:t>信用评价分值进行</w:t>
      </w:r>
      <w:r>
        <w:rPr>
          <w:rFonts w:hint="eastAsia" w:ascii="仿宋_GB2312" w:hAnsi="仿宋_GB2312" w:eastAsia="仿宋_GB2312" w:cs="仿宋_GB2312"/>
          <w:sz w:val="32"/>
          <w:szCs w:val="32"/>
          <w:lang w:val="en-US" w:eastAsia="zh-CN"/>
        </w:rPr>
        <w:t>记录和</w:t>
      </w: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将信用评价情况</w:t>
      </w:r>
      <w:r>
        <w:rPr>
          <w:rFonts w:hint="eastAsia" w:ascii="仿宋_GB2312" w:hAnsi="仿宋_GB2312" w:eastAsia="仿宋_GB2312" w:cs="仿宋_GB2312"/>
          <w:sz w:val="32"/>
          <w:szCs w:val="32"/>
          <w:lang w:eastAsia="zh-CN"/>
        </w:rPr>
        <w:t>定期报送至市营商局</w:t>
      </w:r>
      <w:r>
        <w:rPr>
          <w:rFonts w:hint="eastAsia" w:ascii="仿宋_GB2312" w:hAnsi="仿宋_GB2312" w:eastAsia="仿宋_GB2312" w:cs="仿宋_GB2312"/>
          <w:sz w:val="32"/>
          <w:szCs w:val="32"/>
        </w:rPr>
        <w:t>。</w:t>
      </w:r>
    </w:p>
    <w:p>
      <w:pPr>
        <w:spacing w:line="600" w:lineRule="exact"/>
        <w:ind w:firstLine="65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公共资源交易当事人信用评价</w:t>
      </w:r>
      <w:r>
        <w:rPr>
          <w:rFonts w:hint="eastAsia" w:ascii="仿宋_GB2312" w:hAnsi="仿宋_GB2312" w:eastAsia="仿宋_GB2312" w:cs="仿宋_GB2312"/>
          <w:sz w:val="32"/>
          <w:szCs w:val="32"/>
          <w:lang w:eastAsia="zh-CN"/>
        </w:rPr>
        <w:t>采用百分制，信用评价</w:t>
      </w:r>
      <w:r>
        <w:rPr>
          <w:rFonts w:hint="eastAsia" w:ascii="仿宋_GB2312" w:hAnsi="仿宋_GB2312" w:eastAsia="仿宋_GB2312" w:cs="仿宋_GB2312"/>
          <w:sz w:val="32"/>
          <w:szCs w:val="32"/>
        </w:rPr>
        <w:t>基础分值为100分。信用评价分值的计算方法为信用评价基础分值</w:t>
      </w:r>
      <w:r>
        <w:rPr>
          <w:rFonts w:hint="eastAsia" w:ascii="仿宋_GB2312" w:hAnsi="仿宋_GB2312" w:eastAsia="仿宋_GB2312" w:cs="仿宋_GB2312"/>
          <w:sz w:val="32"/>
          <w:szCs w:val="32"/>
          <w:lang w:eastAsia="zh-CN"/>
        </w:rPr>
        <w:t>减去影响信用评价行为的对应分值。</w:t>
      </w:r>
    </w:p>
    <w:p>
      <w:pPr>
        <w:spacing w:line="600" w:lineRule="exact"/>
        <w:ind w:firstLine="6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共资源交易当事人首次进入</w:t>
      </w:r>
      <w:r>
        <w:rPr>
          <w:rFonts w:hint="eastAsia" w:ascii="仿宋_GB2312" w:hAnsi="仿宋_GB2312" w:eastAsia="仿宋_GB2312" w:cs="仿宋_GB2312"/>
          <w:sz w:val="32"/>
          <w:szCs w:val="32"/>
          <w:lang w:eastAsia="zh-CN"/>
        </w:rPr>
        <w:t>牡丹江市公共资源交易平台进行</w:t>
      </w:r>
      <w:r>
        <w:rPr>
          <w:rFonts w:hint="eastAsia" w:ascii="仿宋_GB2312" w:hAnsi="仿宋_GB2312" w:eastAsia="仿宋_GB2312" w:cs="仿宋_GB2312"/>
          <w:sz w:val="32"/>
          <w:szCs w:val="32"/>
        </w:rPr>
        <w:t>交易时，</w:t>
      </w:r>
      <w:r>
        <w:rPr>
          <w:rFonts w:hint="eastAsia" w:ascii="仿宋_GB2312" w:hAnsi="仿宋_GB2312" w:eastAsia="仿宋_GB2312" w:cs="仿宋_GB2312"/>
          <w:sz w:val="32"/>
          <w:szCs w:val="32"/>
          <w:lang w:eastAsia="zh-CN"/>
        </w:rPr>
        <w:t>应当提供无不良行为承诺书，未归集到其他信用信息的情形下，将</w:t>
      </w:r>
      <w:r>
        <w:rPr>
          <w:rFonts w:hint="eastAsia" w:ascii="仿宋_GB2312" w:hAnsi="仿宋_GB2312" w:eastAsia="仿宋_GB2312" w:cs="仿宋_GB2312"/>
          <w:sz w:val="32"/>
          <w:szCs w:val="32"/>
        </w:rPr>
        <w:t>其</w:t>
      </w:r>
      <w:r>
        <w:rPr>
          <w:rFonts w:hint="eastAsia" w:ascii="仿宋_GB2312" w:hAnsi="仿宋_GB2312" w:eastAsia="仿宋_GB2312" w:cs="仿宋_GB2312"/>
          <w:sz w:val="32"/>
          <w:szCs w:val="32"/>
          <w:lang w:eastAsia="zh-CN"/>
        </w:rPr>
        <w:t>信用评价</w:t>
      </w:r>
      <w:r>
        <w:rPr>
          <w:rFonts w:hint="eastAsia" w:ascii="仿宋_GB2312" w:hAnsi="仿宋_GB2312" w:eastAsia="仿宋_GB2312" w:cs="仿宋_GB2312"/>
          <w:sz w:val="32"/>
          <w:szCs w:val="32"/>
        </w:rPr>
        <w:t>分值</w:t>
      </w:r>
      <w:r>
        <w:rPr>
          <w:rFonts w:hint="eastAsia" w:ascii="仿宋_GB2312" w:hAnsi="仿宋_GB2312" w:eastAsia="仿宋_GB2312" w:cs="仿宋_GB2312"/>
          <w:sz w:val="32"/>
          <w:szCs w:val="32"/>
          <w:lang w:eastAsia="zh-CN"/>
        </w:rPr>
        <w:t>设定为基础</w:t>
      </w:r>
      <w:r>
        <w:rPr>
          <w:rFonts w:hint="eastAsia" w:ascii="仿宋_GB2312" w:hAnsi="仿宋_GB2312" w:eastAsia="仿宋_GB2312" w:cs="仿宋_GB2312"/>
          <w:sz w:val="32"/>
          <w:szCs w:val="32"/>
        </w:rPr>
        <w:t>分。</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条 对符合国家有关失信联合惩戒名单中禁止参与公共资源交易活动惩戒措施的公共资源交易当事人，</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参与所涉领域的公共资源交易活动</w:t>
      </w:r>
      <w:r>
        <w:rPr>
          <w:rFonts w:hint="eastAsia" w:ascii="仿宋_GB2312" w:hAnsi="仿宋_GB2312" w:eastAsia="仿宋_GB2312" w:cs="仿宋_GB2312"/>
          <w:sz w:val="32"/>
          <w:szCs w:val="32"/>
          <w:lang w:eastAsia="zh-CN"/>
        </w:rPr>
        <w:t>。</w:t>
      </w:r>
    </w:p>
    <w:p>
      <w:pPr>
        <w:spacing w:line="600" w:lineRule="exact"/>
        <w:ind w:firstLine="6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共资源交易当事人的信用评价等级划分为A、</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D、E五</w:t>
      </w:r>
      <w:r>
        <w:rPr>
          <w:rFonts w:hint="eastAsia" w:ascii="仿宋_GB2312" w:hAnsi="仿宋_GB2312" w:eastAsia="仿宋_GB2312" w:cs="仿宋_GB2312"/>
          <w:sz w:val="32"/>
          <w:szCs w:val="32"/>
        </w:rPr>
        <w:t>个等级。</w:t>
      </w:r>
    </w:p>
    <w:p>
      <w:pPr>
        <w:spacing w:line="600" w:lineRule="exact"/>
        <w:ind w:firstLine="6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动态评价</w:t>
      </w:r>
      <w:r>
        <w:rPr>
          <w:rFonts w:hint="eastAsia" w:ascii="仿宋_GB2312" w:hAnsi="仿宋_GB2312" w:eastAsia="仿宋_GB2312" w:cs="仿宋_GB2312"/>
          <w:sz w:val="32"/>
          <w:szCs w:val="32"/>
        </w:rPr>
        <w:t>得分</w:t>
      </w:r>
      <w:r>
        <w:rPr>
          <w:rFonts w:hint="eastAsia" w:ascii="仿宋_GB2312" w:hAnsi="仿宋_GB2312" w:eastAsia="仿宋_GB2312" w:cs="仿宋_GB2312"/>
          <w:sz w:val="32"/>
          <w:szCs w:val="32"/>
          <w:lang w:val="en-US" w:eastAsia="zh-CN"/>
        </w:rPr>
        <w:t>为100</w:t>
      </w:r>
      <w:r>
        <w:rPr>
          <w:rFonts w:hint="eastAsia" w:ascii="仿宋_GB2312" w:hAnsi="仿宋_GB2312" w:eastAsia="仿宋_GB2312" w:cs="仿宋_GB2312"/>
          <w:sz w:val="32"/>
          <w:szCs w:val="32"/>
        </w:rPr>
        <w:t>分的列为</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级；</w:t>
      </w:r>
    </w:p>
    <w:p>
      <w:pPr>
        <w:spacing w:line="600" w:lineRule="exact"/>
        <w:ind w:firstLine="65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动态评价</w:t>
      </w:r>
      <w:r>
        <w:rPr>
          <w:rFonts w:hint="eastAsia" w:ascii="仿宋_GB2312" w:hAnsi="仿宋_GB2312" w:eastAsia="仿宋_GB2312" w:cs="仿宋_GB2312"/>
          <w:sz w:val="32"/>
          <w:szCs w:val="32"/>
        </w:rPr>
        <w:t>得分在</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分以上（含</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分以下的列为</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w:t>
      </w:r>
    </w:p>
    <w:p>
      <w:pPr>
        <w:spacing w:line="600" w:lineRule="exact"/>
        <w:ind w:firstLine="6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动态评价</w:t>
      </w:r>
      <w:r>
        <w:rPr>
          <w:rFonts w:hint="eastAsia" w:ascii="仿宋_GB2312" w:hAnsi="仿宋_GB2312" w:eastAsia="仿宋_GB2312" w:cs="仿宋_GB2312"/>
          <w:sz w:val="32"/>
          <w:szCs w:val="32"/>
        </w:rPr>
        <w:t>得分在</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分以上（含</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分以下的列为</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级；</w:t>
      </w:r>
    </w:p>
    <w:p>
      <w:pPr>
        <w:spacing w:line="600" w:lineRule="exact"/>
        <w:ind w:firstLine="65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动态评价</w:t>
      </w:r>
      <w:r>
        <w:rPr>
          <w:rFonts w:hint="eastAsia" w:ascii="仿宋_GB2312" w:hAnsi="仿宋_GB2312" w:eastAsia="仿宋_GB2312" w:cs="仿宋_GB2312"/>
          <w:sz w:val="32"/>
          <w:szCs w:val="32"/>
        </w:rPr>
        <w:t>得分在</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分以上（含</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75</w:t>
      </w:r>
      <w:r>
        <w:rPr>
          <w:rFonts w:hint="default"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以下的列为</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w:t>
      </w:r>
    </w:p>
    <w:p>
      <w:pPr>
        <w:spacing w:line="600" w:lineRule="exact"/>
        <w:ind w:firstLine="65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（五）动态评价</w:t>
      </w:r>
      <w:r>
        <w:rPr>
          <w:rFonts w:hint="eastAsia" w:ascii="仿宋_GB2312" w:hAnsi="仿宋_GB2312" w:eastAsia="仿宋_GB2312" w:cs="仿宋_GB2312"/>
          <w:sz w:val="32"/>
          <w:szCs w:val="32"/>
        </w:rPr>
        <w:t>得分在60</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以下的列为</w:t>
      </w: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第十六条</w:t>
      </w:r>
      <w:r>
        <w:rPr>
          <w:rFonts w:hint="eastAsia" w:ascii="仿宋_GB2312" w:hAnsi="仿宋_GB2312" w:eastAsia="仿宋_GB2312" w:cs="仿宋_GB2312"/>
          <w:b w:val="0"/>
          <w:bCs w:val="0"/>
          <w:color w:val="auto"/>
          <w:sz w:val="32"/>
          <w:szCs w:val="32"/>
          <w:lang w:val="en-US" w:eastAsia="zh-CN"/>
        </w:rPr>
        <w:t xml:space="preserve"> 鼓励招标人（采购人）等项目发起方在公共资源交易过程中使用项目响应方的信用评价结果，可以将项目响应方信用评价结果作为公共资源交易项目评标（评审）的加</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减</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分依据，具体加</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减</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分值比例由项目发起方在交易文件中载明。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第十七条</w:t>
      </w:r>
      <w:r>
        <w:rPr>
          <w:rFonts w:hint="eastAsia" w:ascii="仿宋_GB2312" w:hAnsi="仿宋_GB2312" w:eastAsia="仿宋_GB2312" w:cs="仿宋_GB2312"/>
          <w:b w:val="0"/>
          <w:bCs w:val="0"/>
          <w:color w:val="auto"/>
          <w:sz w:val="32"/>
          <w:szCs w:val="32"/>
          <w:lang w:val="en-US" w:eastAsia="zh-CN"/>
        </w:rPr>
        <w:t xml:space="preserve"> 信用评价结果为A级信用等级的中介代理和服务机构、项目响应方，鼓励招标人（采购人）运用以下激励措施：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（一）招标人（采购人）在选择中介代理时，优先选择信用评价结果为A级信用等级的中介代理和服务机构；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（二）提倡招标人（采购人）对信用评价结果为A级信用等级的项目响应方降低或取消投标保证金（需交纳投标保证金项目）和履约保证金；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（三）招标人（采购人）在相同条件下，优先选择信用评价结果为A级信用等级的项目响应方。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第十八条 公共资源交易当事人信用评价结果在</w:t>
      </w:r>
      <w:r>
        <w:rPr>
          <w:rFonts w:hint="eastAsia" w:ascii="仿宋_GB2312" w:hAnsi="仿宋_GB2312" w:eastAsia="仿宋_GB2312" w:cs="仿宋_GB2312"/>
          <w:sz w:val="32"/>
          <w:szCs w:val="32"/>
          <w:highlight w:val="none"/>
        </w:rPr>
        <w:t>信用评价信息</w:t>
      </w:r>
      <w:r>
        <w:rPr>
          <w:rFonts w:hint="eastAsia" w:ascii="仿宋_GB2312" w:hAnsi="仿宋_GB2312" w:eastAsia="仿宋_GB2312" w:cs="仿宋_GB2312"/>
          <w:sz w:val="32"/>
          <w:szCs w:val="32"/>
          <w:highlight w:val="none"/>
          <w:lang w:eastAsia="zh-CN"/>
        </w:rPr>
        <w:t>系统公示</w:t>
      </w:r>
      <w:r>
        <w:rPr>
          <w:rFonts w:hint="eastAsia" w:ascii="仿宋_GB2312" w:hAnsi="仿宋_GB2312" w:eastAsia="仿宋_GB2312" w:cs="仿宋_GB2312"/>
          <w:sz w:val="32"/>
          <w:szCs w:val="32"/>
          <w:lang w:eastAsia="zh-CN"/>
        </w:rPr>
        <w:t>，公示起始时间以评价结果录入信用评价信息系统为准。</w:t>
      </w:r>
      <w:r>
        <w:rPr>
          <w:rFonts w:hint="eastAsia" w:ascii="仿宋_GB2312" w:hAnsi="仿宋_GB2312" w:eastAsia="仿宋_GB2312" w:cs="仿宋_GB2312"/>
          <w:b w:val="0"/>
          <w:bCs w:val="0"/>
          <w:color w:val="auto"/>
          <w:sz w:val="32"/>
          <w:szCs w:val="32"/>
          <w:lang w:val="en-US" w:eastAsia="zh-CN"/>
        </w:rPr>
        <w:t>信用评价为B等级的公示期3个月；信用评价为C等级的公示期6个月；信用评价为D等级的公示期9个月；信用评价为E等级公示期1年。信用评价公示期满后，信用评价分值自动恢复为基础分。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第十九条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公共资源交易当事人提供虚假信用信息的，由行业行政监管部门依据有关规定予以处理，处理结果通过</w:t>
      </w:r>
      <w:r>
        <w:rPr>
          <w:rFonts w:hint="eastAsia" w:ascii="仿宋_GB2312" w:hAnsi="仿宋_GB2312" w:eastAsia="仿宋_GB2312" w:cs="仿宋_GB2312"/>
          <w:b w:val="0"/>
          <w:bCs w:val="0"/>
          <w:color w:val="auto"/>
          <w:sz w:val="32"/>
          <w:szCs w:val="32"/>
          <w:highlight w:val="none"/>
          <w:lang w:val="en-US" w:eastAsia="zh-CN"/>
        </w:rPr>
        <w:t>公共资源交易平台</w:t>
      </w:r>
      <w:r>
        <w:rPr>
          <w:rFonts w:hint="eastAsia" w:ascii="仿宋_GB2312" w:hAnsi="仿宋_GB2312" w:eastAsia="仿宋_GB2312" w:cs="仿宋_GB2312"/>
          <w:b w:val="0"/>
          <w:bCs w:val="0"/>
          <w:color w:val="auto"/>
          <w:sz w:val="32"/>
          <w:szCs w:val="32"/>
          <w:lang w:val="en-US" w:eastAsia="zh-CN"/>
        </w:rPr>
        <w:t>向社会公开。</w:t>
      </w:r>
    </w:p>
    <w:p>
      <w:pPr>
        <w:spacing w:line="600" w:lineRule="exact"/>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第二十条 行业行政监管部门和交易中心及其工作人员在信用信息的记录、公开、共享、评价和使用等工作中徇私舞弊、滥用职权、弄虚作假、玩忽职守或未依法履行职责的，依法给予处分；涉嫌违纪违法或者涉嫌犯罪的，依法移送有关部门处理。</w:t>
      </w:r>
    </w:p>
    <w:p>
      <w:pPr>
        <w:spacing w:line="6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二十一</w:t>
      </w:r>
      <w:r>
        <w:rPr>
          <w:rFonts w:hint="eastAsia" w:ascii="仿宋_GB2312" w:hAnsi="仿宋_GB2312" w:eastAsia="仿宋_GB2312" w:cs="仿宋_GB2312"/>
          <w:sz w:val="32"/>
          <w:szCs w:val="32"/>
        </w:rPr>
        <w:t>条 本办法自发布之日起</w:t>
      </w:r>
      <w:r>
        <w:rPr>
          <w:rFonts w:hint="eastAsia" w:ascii="仿宋_GB2312" w:hAnsi="仿宋_GB2312" w:eastAsia="仿宋_GB2312" w:cs="仿宋_GB2312"/>
          <w:sz w:val="32"/>
          <w:szCs w:val="32"/>
          <w:lang w:eastAsia="zh-CN"/>
        </w:rPr>
        <w:t>三十日后施行，</w:t>
      </w:r>
      <w:r>
        <w:rPr>
          <w:rFonts w:hint="eastAsia" w:ascii="仿宋_GB2312" w:hAnsi="仿宋_GB2312" w:eastAsia="仿宋_GB2312" w:cs="仿宋_GB2312"/>
          <w:b w:val="0"/>
          <w:bCs w:val="0"/>
          <w:color w:val="auto"/>
          <w:sz w:val="32"/>
          <w:szCs w:val="32"/>
          <w:lang w:val="en-US" w:eastAsia="zh-CN"/>
        </w:rPr>
        <w:t>有效期1年。</w:t>
      </w:r>
    </w:p>
    <w:p>
      <w:pPr>
        <w:spacing w:line="600" w:lineRule="exact"/>
        <w:ind w:firstLine="640" w:firstLineChars="200"/>
        <w:rPr>
          <w:rFonts w:hint="eastAsia" w:ascii="仿宋_GB2312" w:hAnsi="仿宋_GB2312" w:eastAsia="仿宋_GB2312" w:cs="仿宋_GB2312"/>
          <w:b w:val="0"/>
          <w:bCs w:val="0"/>
          <w:color w:val="auto"/>
          <w:sz w:val="32"/>
          <w:szCs w:val="32"/>
          <w:lang w:val="en-US" w:eastAsia="zh-CN"/>
        </w:rPr>
      </w:pPr>
    </w:p>
    <w:p>
      <w:pPr>
        <w:spacing w:line="6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附件：牡丹江市</w:t>
      </w:r>
      <w:r>
        <w:rPr>
          <w:rFonts w:hint="eastAsia" w:ascii="仿宋_GB2312" w:hAnsi="仿宋_GB2312" w:eastAsia="仿宋_GB2312" w:cs="仿宋_GB2312"/>
          <w:sz w:val="32"/>
          <w:szCs w:val="32"/>
          <w:lang w:eastAsia="zh-CN"/>
        </w:rPr>
        <w:t>公共资源交易信用评价</w:t>
      </w:r>
      <w:r>
        <w:rPr>
          <w:rFonts w:hint="eastAsia" w:ascii="仿宋_GB2312" w:hAnsi="仿宋_GB2312" w:eastAsia="仿宋_GB2312" w:cs="仿宋_GB2312"/>
          <w:b w:val="0"/>
          <w:bCs w:val="0"/>
          <w:color w:val="auto"/>
          <w:sz w:val="32"/>
          <w:szCs w:val="32"/>
          <w:lang w:val="en-US" w:eastAsia="zh-CN"/>
        </w:rPr>
        <w:t>评分细则（试行）</w:t>
      </w:r>
    </w:p>
    <w:p>
      <w:pPr>
        <w:spacing w:line="600" w:lineRule="exact"/>
        <w:jc w:val="both"/>
        <w:rPr>
          <w:rFonts w:hint="eastAsia" w:ascii="仿宋_GB2312" w:hAnsi="仿宋_GB2312" w:eastAsia="仿宋_GB2312" w:cs="仿宋_GB2312"/>
          <w:color w:val="000000"/>
          <w:kern w:val="0"/>
          <w:sz w:val="32"/>
          <w:szCs w:val="32"/>
          <w:u w:val="none"/>
          <w:lang w:val="en-US" w:eastAsia="zh-CN" w:bidi="ar"/>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黑体" w:hAnsi="黑体" w:eastAsia="黑体" w:cs="黑体"/>
          <w:b w:val="0"/>
          <w:bCs w:val="0"/>
          <w:sz w:val="32"/>
          <w:szCs w:val="32"/>
          <w:lang w:eastAsia="zh-CN"/>
        </w:rPr>
      </w:pPr>
    </w:p>
    <w:p>
      <w:pPr>
        <w:spacing w:line="600" w:lineRule="exact"/>
        <w:jc w:val="both"/>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eastAsia="zh-CN"/>
        </w:rPr>
        <w:t>附件</w:t>
      </w:r>
    </w:p>
    <w:p>
      <w:pPr>
        <w:spacing w:line="600" w:lineRule="exact"/>
        <w:jc w:val="center"/>
        <w:rPr>
          <w:rFonts w:hint="eastAsia" w:ascii="仿宋_GB2312" w:hAnsi="仿宋_GB2312" w:eastAsia="仿宋_GB2312" w:cs="仿宋_GB2312"/>
          <w:b/>
          <w:bCs/>
          <w:sz w:val="32"/>
          <w:szCs w:val="32"/>
          <w:lang w:eastAsia="zh-CN"/>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牡丹江</w:t>
      </w:r>
      <w:r>
        <w:rPr>
          <w:rFonts w:hint="eastAsia" w:ascii="方正小标宋简体" w:hAnsi="方正小标宋简体" w:eastAsia="方正小标宋简体" w:cs="方正小标宋简体"/>
          <w:b w:val="0"/>
          <w:bCs w:val="0"/>
          <w:sz w:val="44"/>
          <w:szCs w:val="44"/>
        </w:rPr>
        <w:t>市公共资源交易信用评价</w:t>
      </w:r>
    </w:p>
    <w:p>
      <w:pPr>
        <w:spacing w:line="60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评分细则（试行）</w:t>
      </w:r>
    </w:p>
    <w:p>
      <w:pPr>
        <w:spacing w:line="600" w:lineRule="exact"/>
        <w:jc w:val="center"/>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公共资源交易当事人信用评价基础分值为100分，公共资源交易当事人有下列情形，按照评分细则扣除相应分值。</w:t>
      </w:r>
    </w:p>
    <w:tbl>
      <w:tblPr>
        <w:tblStyle w:val="4"/>
        <w:tblpPr w:leftFromText="180" w:rightFromText="180" w:vertAnchor="text" w:horzAnchor="page" w:tblpX="1813" w:tblpY="303"/>
        <w:tblOverlap w:val="never"/>
        <w:tblW w:w="51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613"/>
        <w:gridCol w:w="497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117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822"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trPr>
        <w:tc>
          <w:tcPr>
            <w:tcW w:w="1177" w:type="pct"/>
            <w:vMerge w:val="restar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中介代理</w:t>
            </w: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与项目响应方恶意串通</w:t>
            </w:r>
            <w:r>
              <w:rPr>
                <w:rFonts w:hint="default" w:ascii="仿宋_GB2312" w:hAnsi="仿宋_GB2312" w:eastAsia="仿宋_GB2312" w:cs="仿宋_GB2312"/>
                <w:color w:val="auto"/>
                <w:kern w:val="0"/>
                <w:sz w:val="30"/>
                <w:szCs w:val="30"/>
                <w:u w:val="none"/>
                <w:lang w:eastAsia="zh-CN" w:bidi="ar"/>
              </w:rPr>
              <w:t>。</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exact"/>
        </w:trPr>
        <w:tc>
          <w:tcPr>
            <w:tcW w:w="1177" w:type="pct"/>
            <w:vMerge w:val="continue"/>
            <w:noWrap w:val="0"/>
            <w:vAlign w:val="top"/>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在公共资源交易过程中接受贿赂或者获取其他不正当利益</w:t>
            </w:r>
            <w:r>
              <w:rPr>
                <w:rFonts w:hint="default" w:ascii="仿宋_GB2312" w:hAnsi="仿宋_GB2312" w:eastAsia="仿宋_GB2312" w:cs="仿宋_GB2312"/>
                <w:color w:val="auto"/>
                <w:kern w:val="0"/>
                <w:sz w:val="30"/>
                <w:szCs w:val="30"/>
                <w:u w:val="none"/>
                <w:lang w:eastAsia="zh-CN" w:bidi="ar"/>
              </w:rPr>
              <w:t>。</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trPr>
        <w:tc>
          <w:tcPr>
            <w:tcW w:w="1177" w:type="pct"/>
            <w:vMerge w:val="continue"/>
            <w:noWrap w:val="0"/>
            <w:vAlign w:val="top"/>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3</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非法干预公共资源交易评审活动</w:t>
            </w:r>
            <w:r>
              <w:rPr>
                <w:rFonts w:hint="default" w:ascii="仿宋_GB2312" w:hAnsi="仿宋_GB2312" w:eastAsia="仿宋_GB2312" w:cs="仿宋_GB2312"/>
                <w:color w:val="auto"/>
                <w:kern w:val="0"/>
                <w:sz w:val="30"/>
                <w:szCs w:val="30"/>
                <w:u w:val="none"/>
                <w:lang w:eastAsia="zh-CN" w:bidi="ar"/>
              </w:rPr>
              <w:t>。</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exact"/>
        </w:trPr>
        <w:tc>
          <w:tcPr>
            <w:tcW w:w="1177" w:type="pct"/>
            <w:vMerge w:val="continue"/>
            <w:noWrap w:val="0"/>
            <w:vAlign w:val="top"/>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4</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在所代理的公共资源交易项目中投标或者代理投标，为所代理的公共资源交易项目的项目响应方参加本项目提供投标咨询。</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trPr>
        <w:tc>
          <w:tcPr>
            <w:tcW w:w="1177" w:type="pct"/>
            <w:vMerge w:val="continue"/>
            <w:noWrap w:val="0"/>
            <w:vAlign w:val="top"/>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对项目响应方的质疑逾期未作处理或者拒收项目响应方法定期限内提出的质疑。</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bookmarkStart w:id="0" w:name="_GoBack"/>
            <w:bookmarkEnd w:id="0"/>
            <w:r>
              <w:rPr>
                <w:rFonts w:hint="eastAsia" w:ascii="仿宋_GB2312" w:hAnsi="仿宋_GB2312" w:eastAsia="仿宋_GB2312" w:cs="仿宋_GB2312"/>
                <w:color w:val="000000"/>
                <w:kern w:val="0"/>
                <w:sz w:val="30"/>
                <w:szCs w:val="3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trPr>
        <w:tc>
          <w:tcPr>
            <w:tcW w:w="117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822" w:type="pct"/>
            <w:noWrap w:val="0"/>
            <w:vAlign w:val="center"/>
          </w:tcPr>
          <w:p>
            <w:pPr>
              <w:spacing w:line="600" w:lineRule="exact"/>
              <w:jc w:val="center"/>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1177" w:type="pct"/>
            <w:vMerge w:val="restar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中介代理</w:t>
            </w: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6</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拒绝配合行业行政监管部门处理投诉事宜。</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7</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中介代理机构的相关人员与项目响应方有利害关系的，未回避。</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8</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中介代理机构工作人员对公共资源各项法律法规和规章制度的掌握不熟练，影响进场交易项目进行。</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9</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中介代理机构工作人员服务过程不够细致耐心，执行不够严格规范。</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10</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超越代理权限办理公共资源交易事宜。</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11</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预约交易时间及场地不能按时进行交易，未及时通知交易中心。</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12</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未按照规定进行开标</w:t>
            </w:r>
            <w:r>
              <w:rPr>
                <w:rFonts w:hint="default" w:ascii="仿宋_GB2312" w:hAnsi="仿宋_GB2312" w:eastAsia="仿宋_GB2312" w:cs="仿宋_GB2312"/>
                <w:color w:val="auto"/>
                <w:kern w:val="0"/>
                <w:sz w:val="30"/>
                <w:szCs w:val="30"/>
                <w:u w:val="none"/>
                <w:lang w:eastAsia="zh-CN" w:bidi="ar"/>
              </w:rPr>
              <w:t>。</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13</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除必要的原件核对外，对于项目响应方能够在线提供的材料，代理机构要求项目响应方同时提供纸质材料。</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14</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交易文件编制不规范、不完整。</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其他违法违规情形。</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117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822" w:type="pct"/>
            <w:noWrap w:val="0"/>
            <w:vAlign w:val="center"/>
          </w:tcPr>
          <w:p>
            <w:pPr>
              <w:spacing w:line="600" w:lineRule="exact"/>
              <w:jc w:val="center"/>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exact"/>
        </w:trPr>
        <w:tc>
          <w:tcPr>
            <w:tcW w:w="1177" w:type="pct"/>
            <w:vMerge w:val="restart"/>
            <w:noWrap w:val="0"/>
            <w:vAlign w:val="center"/>
          </w:tcPr>
          <w:p>
            <w:pPr>
              <w:spacing w:line="600" w:lineRule="exact"/>
              <w:jc w:val="left"/>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投标人、供应商、竞买人等项目响应方</w:t>
            </w:r>
          </w:p>
          <w:p>
            <w:pPr>
              <w:spacing w:line="600" w:lineRule="exact"/>
              <w:jc w:val="left"/>
              <w:rPr>
                <w:rFonts w:hint="default"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向评标委员会成员行贿或者提供其他不正当利益。</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与项目发起方、其他项目响应方或者中介代理机构恶意串通。</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3</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无正当理由放弃中标、成交资格。</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4</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提供虚假材料谋取中标、成交。</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中标或者成交后无正当理由拒不与项目发起方签订合同。</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6</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无确凿证据，对交易中心及其工作人员恶意投诉。</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7</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与项目发起方或者中介代理机构之间、项目响应方相互之间，为谋求特定项目响应方中标、成交或者排斥其他项目响应方的其他串通行为。</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8</w:t>
            </w:r>
          </w:p>
        </w:tc>
        <w:tc>
          <w:tcPr>
            <w:tcW w:w="2822"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经专家及行政监管部门论证，恶意低价竞标。</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exact"/>
        </w:trPr>
        <w:tc>
          <w:tcPr>
            <w:tcW w:w="1177"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34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9</w:t>
            </w:r>
          </w:p>
        </w:tc>
        <w:tc>
          <w:tcPr>
            <w:tcW w:w="2822" w:type="pct"/>
            <w:noWrap w:val="0"/>
            <w:vAlign w:val="center"/>
          </w:tcPr>
          <w:p>
            <w:pPr>
              <w:spacing w:line="600" w:lineRule="exact"/>
              <w:jc w:val="both"/>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获取招标文件后进行质疑，但不递交响应文件参与投标活动。</w:t>
            </w:r>
          </w:p>
        </w:tc>
        <w:tc>
          <w:tcPr>
            <w:tcW w:w="651"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bl>
    <w:p/>
    <w:tbl>
      <w:tblPr>
        <w:tblStyle w:val="4"/>
        <w:tblpPr w:leftFromText="180" w:rightFromText="180" w:vertAnchor="text" w:horzAnchor="page" w:tblpX="1813" w:tblpY="303"/>
        <w:tblOverlap w:val="never"/>
        <w:tblW w:w="51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859"/>
        <w:gridCol w:w="466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1185"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649" w:type="pct"/>
            <w:noWrap w:val="0"/>
            <w:vAlign w:val="center"/>
          </w:tcPr>
          <w:p>
            <w:pPr>
              <w:spacing w:line="600" w:lineRule="exact"/>
              <w:jc w:val="center"/>
              <w:rPr>
                <w:rFonts w:hint="eastAsia" w:ascii="仿宋_GB2312" w:hAnsi="仿宋_GB2312" w:eastAsia="仿宋_GB2312" w:cs="仿宋_GB2312"/>
                <w:color w:val="auto"/>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185" w:type="pct"/>
            <w:vMerge w:val="restart"/>
            <w:noWrap w:val="0"/>
            <w:vAlign w:val="center"/>
          </w:tcPr>
          <w:p>
            <w:pPr>
              <w:spacing w:line="600" w:lineRule="exact"/>
              <w:jc w:val="left"/>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投标人、供应商、竞买人等项目响应方</w:t>
            </w:r>
          </w:p>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10</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auto"/>
                <w:kern w:val="0"/>
                <w:sz w:val="30"/>
                <w:szCs w:val="30"/>
                <w:u w:val="none"/>
                <w:lang w:val="en-US" w:eastAsia="zh-CN" w:bidi="ar"/>
              </w:rPr>
              <w:t>对自己提出质疑、投诉。</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11</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恶意或为谋取不当利益质疑、投诉，干扰</w:t>
            </w:r>
            <w:r>
              <w:rPr>
                <w:rFonts w:hint="default" w:ascii="仿宋_GB2312" w:hAnsi="仿宋_GB2312" w:eastAsia="仿宋_GB2312" w:cs="仿宋_GB2312"/>
                <w:color w:val="000000"/>
                <w:kern w:val="0"/>
                <w:sz w:val="30"/>
                <w:szCs w:val="30"/>
                <w:u w:val="none"/>
                <w:lang w:eastAsia="zh-CN" w:bidi="ar"/>
              </w:rPr>
              <w:t>交易</w:t>
            </w:r>
            <w:r>
              <w:rPr>
                <w:rFonts w:hint="eastAsia" w:ascii="仿宋_GB2312" w:hAnsi="仿宋_GB2312" w:eastAsia="仿宋_GB2312" w:cs="仿宋_GB2312"/>
                <w:color w:val="000000"/>
                <w:kern w:val="0"/>
                <w:sz w:val="30"/>
                <w:szCs w:val="30"/>
                <w:u w:val="none"/>
                <w:lang w:val="en-US" w:eastAsia="zh-CN" w:bidi="ar"/>
              </w:rPr>
              <w:t>活动正常进行。</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12</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中标后不及时、足额按招标文件要求提交履约保证金。</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185" w:type="pct"/>
            <w:vMerge w:val="restart"/>
            <w:noWrap w:val="0"/>
            <w:vAlign w:val="center"/>
          </w:tcPr>
          <w:p>
            <w:pPr>
              <w:spacing w:line="600" w:lineRule="exact"/>
              <w:jc w:val="left"/>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评标评审专家</w:t>
            </w: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收受项目响应方的财物或者其他好处</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lang w:val="en-US" w:eastAsia="zh-CN" w:bidi="ar"/>
              </w:rPr>
              <w:t>透露对投标（响应）文件的评审和比较、中标候选人的推荐情况以及与评标有关的其他情况。</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3</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到场参加评标工作后，擅离职守，无故退出评标活动。</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4</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评标时发现存在回避情形未提出回避继续评标</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私下接触项目响应方</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6</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不按照招标文件规定的评标标准和方法评标</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exact"/>
        </w:trPr>
        <w:tc>
          <w:tcPr>
            <w:tcW w:w="1185"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649"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exact"/>
        </w:trPr>
        <w:tc>
          <w:tcPr>
            <w:tcW w:w="1185" w:type="pct"/>
            <w:vMerge w:val="restar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评标评审专家</w:t>
            </w: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7</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对明显违法违规或违反招标文件实质内容的重大偏差应否决而不予否决投标</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8</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暗示或者诱导项目响应方作出澄清、说明或者接受项目响应方主动提出的澄清、说明。</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9</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向招标人（采购人）征询确定中标人的意向或者接受任何单位或者个人明示或者暗示提出的倾向或者排斥特定项目响应方的要求。</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10</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委托他人代为参加评标或以他人名义参加评标</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11</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将评标资料私自抄录带离评标区的，或者透露评标委员会成员身份和评标项目。</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21"/>
                <w:szCs w:val="21"/>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12</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对应知法规和规定掌握不准、理解有误，将不应否决的投标作否决处理。</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185"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649"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trPr>
        <w:tc>
          <w:tcPr>
            <w:tcW w:w="1185" w:type="pct"/>
            <w:vMerge w:val="restar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评标评审专家</w:t>
            </w: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13</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抄袭其他评标专家评审结果</w:t>
            </w:r>
            <w:r>
              <w:rPr>
                <w:rFonts w:hint="default" w:ascii="仿宋_GB2312" w:hAnsi="仿宋_GB2312" w:eastAsia="仿宋_GB2312" w:cs="仿宋_GB2312"/>
                <w:color w:val="000000"/>
                <w:kern w:val="0"/>
                <w:sz w:val="30"/>
                <w:szCs w:val="30"/>
                <w:u w:val="none"/>
                <w:lang w:eastAsia="zh-CN" w:bidi="ar"/>
              </w:rPr>
              <w:t>。</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exact"/>
        </w:trPr>
        <w:tc>
          <w:tcPr>
            <w:tcW w:w="1185" w:type="pct"/>
            <w:vMerge w:val="continue"/>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14</w:t>
            </w:r>
          </w:p>
        </w:tc>
        <w:tc>
          <w:tcPr>
            <w:tcW w:w="2649" w:type="pct"/>
            <w:noWrap w:val="0"/>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无正当理由对某一家或某些家项目响应方不公平对待、打分畸高畸低。</w:t>
            </w:r>
          </w:p>
        </w:tc>
        <w:tc>
          <w:tcPr>
            <w:tcW w:w="678" w:type="pct"/>
            <w:noWrap w:val="0"/>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exact"/>
        </w:trPr>
        <w:tc>
          <w:tcPr>
            <w:tcW w:w="1185" w:type="pct"/>
            <w:vMerge w:val="continue"/>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对投标（响应）文件细微的偏差、缺陷或者有明显文字和计算错误、失误且不造成实质性影响，可以澄清、说明、补正而未经要求澄清、说明、补正就直接否决投标。</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exact"/>
        </w:trPr>
        <w:tc>
          <w:tcPr>
            <w:tcW w:w="1185" w:type="pct"/>
            <w:vMerge w:val="continue"/>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16</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对其他评标委员会成员的独立评审施加不当影响的，如暗示、诱导等。</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exact"/>
        </w:trPr>
        <w:tc>
          <w:tcPr>
            <w:tcW w:w="1185" w:type="pct"/>
            <w:vMerge w:val="continue"/>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17</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完成评审后在合法的评标劳务费之外额外索取、接受报酬或者其他好处，或者以各种理由拒绝提交评标报告。</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1185"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649"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exact"/>
        </w:trPr>
        <w:tc>
          <w:tcPr>
            <w:tcW w:w="1185" w:type="pct"/>
            <w:vMerge w:val="restar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评标评审专家</w:t>
            </w: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18</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组建或者加入可能影响公正评标的微信群、QQ群等网络通讯群组，或者参加专家微信群、评标QQ群等网络通讯群组，发布预参加评标信息或泄露已评完</w:t>
            </w:r>
            <w:r>
              <w:rPr>
                <w:rFonts w:hint="default" w:ascii="仿宋_GB2312" w:hAnsi="仿宋_GB2312" w:eastAsia="仿宋_GB2312" w:cs="仿宋_GB2312"/>
                <w:color w:val="000000"/>
                <w:kern w:val="0"/>
                <w:sz w:val="30"/>
                <w:szCs w:val="30"/>
                <w:u w:val="none"/>
                <w:lang w:eastAsia="zh-CN" w:bidi="ar"/>
              </w:rPr>
              <w:t>项目</w:t>
            </w:r>
            <w:r>
              <w:rPr>
                <w:rFonts w:hint="eastAsia" w:ascii="仿宋_GB2312" w:hAnsi="仿宋_GB2312" w:eastAsia="仿宋_GB2312" w:cs="仿宋_GB2312"/>
                <w:color w:val="000000"/>
                <w:kern w:val="0"/>
                <w:sz w:val="30"/>
                <w:szCs w:val="30"/>
                <w:u w:val="none"/>
                <w:lang w:val="en-US" w:eastAsia="zh-CN" w:bidi="ar"/>
              </w:rPr>
              <w:t>信息。</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19</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无正当理由不参加、不配合招标人依法组织的中标候选人履约能力审查或不配合异议、投诉处理工作。</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20</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确认参加评标但未到场且未请假影响评标正常进行。</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21</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确认参加评标后，未按通知时间到达评标现场的，迟到60分钟以上。</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22</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确认参加评标后，未按通知时间到达评标现场的，迟到30分钟至60分钟。</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23</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刻意躲避评标区监控，与其他评标委员会成员私下交流评审内容。</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1185"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649"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exact"/>
        </w:trPr>
        <w:tc>
          <w:tcPr>
            <w:tcW w:w="1185" w:type="pct"/>
            <w:vMerge w:val="restar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评标评审专家</w:t>
            </w: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24</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在各评审环节中，已提交并确认该环节评审结论后，又无故退回更改评审内容的，或者退回的理由明显不符合实际情况。</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25</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未按规定存放手机等通讯工具，U盘、移动硬盘等电子存储设备，或者未按要求携带评标锁的，或者因评标专家原因携带的评标锁不能使用。</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26</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进入其他项目评标室聊天或打听项目信息</w:t>
            </w:r>
            <w:r>
              <w:rPr>
                <w:rFonts w:hint="default" w:ascii="仿宋_GB2312" w:hAnsi="仿宋_GB2312" w:eastAsia="仿宋_GB2312" w:cs="仿宋_GB2312"/>
                <w:color w:val="000000"/>
                <w:kern w:val="0"/>
                <w:sz w:val="30"/>
                <w:szCs w:val="30"/>
                <w:u w:val="none"/>
                <w:lang w:eastAsia="zh-CN" w:bidi="ar"/>
              </w:rPr>
              <w:t>。</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27</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不遵守评标区管理制度</w:t>
            </w:r>
            <w:r>
              <w:rPr>
                <w:rFonts w:hint="default" w:ascii="仿宋_GB2312" w:hAnsi="仿宋_GB2312" w:eastAsia="仿宋_GB2312" w:cs="仿宋_GB2312"/>
                <w:color w:val="000000"/>
                <w:kern w:val="0"/>
                <w:sz w:val="30"/>
                <w:szCs w:val="30"/>
                <w:u w:val="none"/>
                <w:lang w:eastAsia="zh-CN" w:bidi="ar"/>
              </w:rPr>
              <w:t>。</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28</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不能独立使用评审工具完成电子评标评审工作</w:t>
            </w:r>
            <w:r>
              <w:rPr>
                <w:rFonts w:hint="default" w:ascii="仿宋_GB2312" w:hAnsi="仿宋_GB2312" w:eastAsia="仿宋_GB2312" w:cs="仿宋_GB2312"/>
                <w:color w:val="000000"/>
                <w:kern w:val="0"/>
                <w:sz w:val="30"/>
                <w:szCs w:val="30"/>
                <w:u w:val="none"/>
                <w:lang w:eastAsia="zh-CN" w:bidi="ar"/>
              </w:rPr>
              <w:t>。</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exact"/>
        </w:trPr>
        <w:tc>
          <w:tcPr>
            <w:tcW w:w="1185"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交易当事人</w:t>
            </w: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序号</w:t>
            </w:r>
          </w:p>
        </w:tc>
        <w:tc>
          <w:tcPr>
            <w:tcW w:w="2649"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影响信用评价行为</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扣除分值（分）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exact"/>
        </w:trPr>
        <w:tc>
          <w:tcPr>
            <w:tcW w:w="1185" w:type="pct"/>
            <w:vMerge w:val="restar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评标评审专家</w:t>
            </w: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29</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对应知法规掌握不准或对评标系统操作有误导致评标发生错误</w:t>
            </w:r>
            <w:r>
              <w:rPr>
                <w:rFonts w:hint="default" w:ascii="仿宋_GB2312" w:hAnsi="仿宋_GB2312" w:eastAsia="仿宋_GB2312" w:cs="仿宋_GB2312"/>
                <w:color w:val="000000"/>
                <w:kern w:val="0"/>
                <w:sz w:val="30"/>
                <w:szCs w:val="30"/>
                <w:u w:val="none"/>
                <w:lang w:eastAsia="zh-CN" w:bidi="ar"/>
              </w:rPr>
              <w:t>。</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30</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在“评定分离”模式招标项目的评标活动中，所提出的定性评审意见不明确、敷衍了事，且不能为定标活动起到参考作用。</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exact"/>
        </w:trPr>
        <w:tc>
          <w:tcPr>
            <w:tcW w:w="1185" w:type="pct"/>
            <w:vMerge w:val="continue"/>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p>
        </w:tc>
        <w:tc>
          <w:tcPr>
            <w:tcW w:w="487"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31</w:t>
            </w:r>
          </w:p>
        </w:tc>
        <w:tc>
          <w:tcPr>
            <w:tcW w:w="2649" w:type="pct"/>
            <w:vAlign w:val="center"/>
          </w:tcPr>
          <w:p>
            <w:pPr>
              <w:spacing w:line="600" w:lineRule="exact"/>
              <w:jc w:val="both"/>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故意拖延评审时间，或者消极怠工、敷衍塞责随意评标、从事与评标无关事项。</w:t>
            </w:r>
          </w:p>
        </w:tc>
        <w:tc>
          <w:tcPr>
            <w:tcW w:w="678" w:type="pct"/>
            <w:vAlign w:val="center"/>
          </w:tcPr>
          <w:p>
            <w:pPr>
              <w:spacing w:line="600" w:lineRule="exact"/>
              <w:jc w:val="center"/>
              <w:rPr>
                <w:rFonts w:hint="eastAsia" w:ascii="仿宋_GB2312" w:hAnsi="仿宋_GB2312" w:eastAsia="仿宋_GB2312" w:cs="仿宋_GB2312"/>
                <w:color w:val="000000"/>
                <w:kern w:val="0"/>
                <w:sz w:val="30"/>
                <w:szCs w:val="30"/>
                <w:u w:val="none"/>
                <w:lang w:val="en-US" w:eastAsia="zh-CN" w:bidi="ar"/>
              </w:rPr>
            </w:pPr>
            <w:r>
              <w:rPr>
                <w:rFonts w:hint="eastAsia" w:ascii="仿宋_GB2312" w:hAnsi="仿宋_GB2312" w:eastAsia="仿宋_GB2312" w:cs="仿宋_GB2312"/>
                <w:color w:val="000000"/>
                <w:kern w:val="0"/>
                <w:sz w:val="30"/>
                <w:szCs w:val="30"/>
                <w:u w:val="none"/>
                <w:lang w:val="en-US" w:eastAsia="zh-CN" w:bidi="ar"/>
              </w:rPr>
              <w:t>5</w:t>
            </w:r>
          </w:p>
        </w:tc>
      </w:tr>
    </w:tbl>
    <w:p>
      <w:pPr>
        <w:pStyle w:val="2"/>
        <w:numPr>
          <w:ilvl w:val="1"/>
          <w:numId w:val="0"/>
        </w:numPr>
        <w:ind w:leftChars="0"/>
        <w:rPr>
          <w:b w:val="0"/>
          <w:bCs w:val="0"/>
        </w:rPr>
      </w:pPr>
    </w:p>
    <w:p>
      <w:pPr>
        <w:rPr>
          <w:b w:val="0"/>
          <w:bCs w:val="0"/>
        </w:rPr>
      </w:pPr>
    </w:p>
    <w:p>
      <w:pPr>
        <w:pStyle w:val="2"/>
        <w:numPr>
          <w:ilvl w:val="1"/>
          <w:numId w:val="0"/>
        </w:numPr>
        <w:ind w:leftChars="0"/>
      </w:pPr>
    </w:p>
    <w:p>
      <w:pPr>
        <w:rPr>
          <w:b w:val="0"/>
          <w:bCs w:val="0"/>
        </w:rPr>
      </w:pPr>
    </w:p>
    <w:p>
      <w:pPr>
        <w:pStyle w:val="2"/>
        <w:numPr>
          <w:ilvl w:val="1"/>
          <w:numId w:val="0"/>
        </w:numPr>
        <w:ind w:leftChars="0"/>
      </w:pPr>
    </w:p>
    <w:p>
      <w:pPr>
        <w:rPr>
          <w:b w:val="0"/>
          <w:bCs w:val="0"/>
        </w:rPr>
      </w:pPr>
    </w:p>
    <w:p>
      <w:pPr>
        <w:pStyle w:val="2"/>
        <w:numPr>
          <w:ilvl w:val="1"/>
          <w:numId w:val="0"/>
        </w:numPr>
        <w:ind w:leftChars="0"/>
      </w:pPr>
    </w:p>
    <w:p>
      <w:pPr>
        <w:rPr>
          <w:b w:val="0"/>
          <w:bCs w:val="0"/>
        </w:rPr>
      </w:pPr>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p>
      <w:pPr>
        <w:pStyle w:val="2"/>
        <w:numPr>
          <w:ilvl w:val="1"/>
          <w:numId w:val="0"/>
        </w:numPr>
        <w:ind w:leftChars="0"/>
      </w:pPr>
    </w:p>
    <w:p>
      <w:r>
        <w:rPr>
          <w:rFonts w:hint="eastAsia"/>
          <w:lang w:eastAsia="zh-CN"/>
        </w:rPr>
        <w:tab/>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434340</wp:posOffset>
                </wp:positionV>
                <wp:extent cx="537210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34.2pt;height:0pt;width:423pt;z-index:251659264;mso-width-relative:page;mso-height-relative:page;" filled="f" stroked="t" coordsize="21600,21600" o:gfxdata="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5/L7nTAAAABgEAAA8AAAAAAAAAAQAgAAAAOAAAAGRycy9kb3ducmV2LnhtbFBLAQIUABQA&#10;AAAIAIdO4kCZpU2/3wEAAKADAAAOAAAAAAAAAAEAIAAAADg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53721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23pt;z-index:251660288;mso-width-relative:page;mso-height-relative:page;" filled="f" stroked="t" coordsize="21600,21600" o:gfxdata="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XfUWnSAAAABAEAAA8AAAAAAAAAAQAgAAAAOAAAAGRycy9kb3ducmV2LnhtbFBLAQIUABQA&#10;AAAIAIdO4kCFOJKd4AEAAKADAAAOAAAAAAAAAAEAIAAAADc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牡丹江市人民政府办公室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2024年</w:t>
      </w: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rPr>
        <w:t>4</w:t>
      </w:r>
      <w:r>
        <w:rPr>
          <w:rFonts w:hint="eastAsia" w:ascii="仿宋_GB2312" w:hAnsi="仿宋_GB2312" w:eastAsia="仿宋_GB2312" w:cs="仿宋_GB2312"/>
          <w:sz w:val="28"/>
          <w:szCs w:val="28"/>
        </w:rPr>
        <w:t>日印发</w:t>
      </w:r>
    </w:p>
    <w:p>
      <w:pPr>
        <w:tabs>
          <w:tab w:val="left" w:pos="1542"/>
        </w:tabs>
        <w:bidi w:val="0"/>
        <w:jc w:val="left"/>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36067"/>
    <w:multiLevelType w:val="multilevel"/>
    <w:tmpl w:val="4EB36067"/>
    <w:lvl w:ilvl="0" w:tentative="0">
      <w:start w:val="1"/>
      <w:numFmt w:val="chineseCountingThousand"/>
      <w:lvlText w:val="%1、"/>
      <w:lvlJc w:val="left"/>
      <w:pPr>
        <w:ind w:left="420" w:hanging="420"/>
      </w:pPr>
      <w:rPr>
        <w:rFonts w:hint="eastAsia"/>
        <w:b/>
        <w:i w:val="0"/>
        <w:spacing w:val="0"/>
      </w:rPr>
    </w:lvl>
    <w:lvl w:ilvl="1" w:tentative="0">
      <w:start w:val="1"/>
      <w:numFmt w:val="decimal"/>
      <w:pStyle w:val="2"/>
      <w:isLgl/>
      <w:suff w:val="space"/>
      <w:lvlText w:val="%1.%2"/>
      <w:lvlJc w:val="left"/>
      <w:pPr>
        <w:ind w:left="0" w:firstLine="0"/>
      </w:pPr>
      <w:rPr>
        <w:rFonts w:hint="eastAsia"/>
      </w:rPr>
    </w:lvl>
    <w:lvl w:ilvl="2" w:tentative="0">
      <w:start w:val="1"/>
      <w:numFmt w:val="decimal"/>
      <w:isLgl/>
      <w:suff w:val="space"/>
      <w:lvlText w:val="%1.%2.%3"/>
      <w:lvlJc w:val="left"/>
      <w:pPr>
        <w:ind w:left="0" w:firstLine="0"/>
      </w:p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NTg2YzU5MmE3NmJhNTQ4ZDE4NzRmNjRkZGY4NzcifQ=="/>
  </w:docVars>
  <w:rsids>
    <w:rsidRoot w:val="51057242"/>
    <w:rsid w:val="51057242"/>
    <w:rsid w:val="77FF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qFormat/>
    <w:uiPriority w:val="9"/>
    <w:pPr>
      <w:keepNext/>
      <w:keepLines/>
      <w:widowControl w:val="0"/>
      <w:numPr>
        <w:ilvl w:val="1"/>
        <w:numId w:val="1"/>
      </w:numPr>
      <w:spacing w:before="260" w:after="260" w:line="416" w:lineRule="auto"/>
      <w:jc w:val="both"/>
      <w:outlineLvl w:val="1"/>
    </w:pPr>
    <w:rPr>
      <w:rFonts w:ascii="Cambria" w:hAnsi="Cambria" w:eastAsia="黑体" w:cs="Times New Roman"/>
      <w:b/>
      <w:bCs/>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2024-02-06T15:44:00Z</dcterms:created>
  <dc:creator>dell</dc:creator>
  <cp:lastModifiedBy>greatwall</cp:lastModifiedBy>
  <dcterms:modified xsi:type="dcterms:W3CDTF">2024-02-19T14:34:55Z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B5263052204248BFB33BC16465F0D58A_11</vt:lpwstr>
  </property>
</Properties>
</file>